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right"/>
            </w:pPr>
            <w:r>
              <w:rPr>
                <w:rFonts w:ascii="Arial" w:hAnsi="Arial" w:cs="Arial"/>
              </w:rPr>
              <w:t>Приложение</w:t>
            </w:r>
          </w:p>
        </w:tc>
      </w:tr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03F2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i/>
                <w:iCs/>
                <w:color w:val="1F497D"/>
              </w:rPr>
              <w:t xml:space="preserve">(к </w:t>
            </w:r>
            <w:hyperlink r:id="rId4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u w:val="none"/>
                </w:rPr>
                <w:t>Указу</w:t>
              </w:r>
            </w:hyperlink>
            <w:r>
              <w:rPr>
                <w:rFonts w:ascii="Arial" w:hAnsi="Arial" w:cs="Arial"/>
                <w:i/>
                <w:iCs/>
                <w:color w:val="1F497D"/>
              </w:rPr>
              <w:t xml:space="preserve"> Президента Кыргызской Республики</w:t>
            </w:r>
            <w:r>
              <w:rPr>
                <w:rFonts w:ascii="Arial" w:hAnsi="Arial" w:cs="Arial"/>
                <w:i/>
                <w:iCs/>
                <w:color w:val="1F497D"/>
              </w:rPr>
              <w:br/>
              <w:t>от 2 февраля 2022 года № 24)</w:t>
            </w:r>
          </w:p>
        </w:tc>
      </w:tr>
    </w:tbl>
    <w:p w:rsidR="00000000" w:rsidRDefault="001403F2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Положение</w:t>
      </w:r>
      <w:r>
        <w:rPr>
          <w:rFonts w:ascii="Arial" w:hAnsi="Arial" w:cs="Arial"/>
          <w:b/>
          <w:bCs/>
        </w:rPr>
        <w:br/>
        <w:t xml:space="preserve">о порядке проведения открытого конкурса для включения в резерв кадров </w:t>
      </w:r>
      <w:r>
        <w:rPr>
          <w:rFonts w:ascii="Arial" w:hAnsi="Arial" w:cs="Arial"/>
          <w:b/>
          <w:bCs/>
        </w:rPr>
        <w:t>государственной гражданской службы и муниципальной службы государственного органа и органа местного самоуправления, его формирования и функционирования</w:t>
      </w:r>
    </w:p>
    <w:p w:rsidR="00000000" w:rsidRDefault="001403F2">
      <w:pPr>
        <w:spacing w:before="200" w:after="200" w:line="276" w:lineRule="auto"/>
        <w:ind w:left="1134" w:right="1134"/>
        <w:jc w:val="center"/>
      </w:pPr>
      <w:bookmarkStart w:id="0" w:name="r1"/>
      <w:bookmarkEnd w:id="0"/>
      <w:r>
        <w:rPr>
          <w:rFonts w:ascii="Arial" w:hAnsi="Arial" w:cs="Arial"/>
          <w:b/>
          <w:bCs/>
        </w:rPr>
        <w:t>1. Общие положения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Настоящее Положение определяет порядок проведения открытого конкурса для включения</w:t>
      </w:r>
      <w:r>
        <w:rPr>
          <w:rFonts w:ascii="Arial" w:hAnsi="Arial" w:cs="Arial"/>
        </w:rPr>
        <w:t xml:space="preserve"> в резерв кадров государственной гражданской службы и муниципальной службы государственного органа и органа местного самоуправления (далее - резерв кадров), его формирования и функционирования.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Цель резерва кадров - привлечение на административные госуд</w:t>
      </w:r>
      <w:r>
        <w:rPr>
          <w:rFonts w:ascii="Arial" w:hAnsi="Arial" w:cs="Arial"/>
        </w:rPr>
        <w:t>арственные и муниципальные должности квалифицированных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Резерв кадров состоит из кандидатов на младшие, старшие и главные административные должности государственной гражданской службы и муниципальной службы.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4. Резерв кадров формируется </w:t>
      </w:r>
      <w:r>
        <w:rPr>
          <w:rFonts w:ascii="Arial" w:hAnsi="Arial" w:cs="Arial"/>
        </w:rPr>
        <w:t>руководителем государственного органа, органа местного самоуправления соответственно.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 учетом специфики и штатной численности подведомственных подразделений государственного органа руководители государственных органов могут предоставить руководителю подве</w:t>
      </w:r>
      <w:r>
        <w:rPr>
          <w:rFonts w:ascii="Arial" w:hAnsi="Arial" w:cs="Arial"/>
        </w:rPr>
        <w:t>домственного подразделения право формировать отдельный резерв кадров подведомственного подразделения государственного органа. В этом случае руководители подведомственных подразделений государственных органов могут осуществлять функции (полномочия), установ</w:t>
      </w:r>
      <w:r>
        <w:rPr>
          <w:rFonts w:ascii="Arial" w:hAnsi="Arial" w:cs="Arial"/>
        </w:rPr>
        <w:t>ленные настоящим Положением для руководителей государственных органов.</w:t>
      </w:r>
    </w:p>
    <w:p w:rsidR="00000000" w:rsidRDefault="001403F2">
      <w:pPr>
        <w:spacing w:before="200" w:after="200" w:line="276" w:lineRule="auto"/>
        <w:ind w:left="1134" w:right="1134"/>
        <w:jc w:val="center"/>
      </w:pPr>
      <w:bookmarkStart w:id="1" w:name="r2"/>
      <w:bookmarkEnd w:id="1"/>
      <w:r>
        <w:rPr>
          <w:rFonts w:ascii="Arial" w:hAnsi="Arial" w:cs="Arial"/>
          <w:b/>
          <w:bCs/>
        </w:rPr>
        <w:t>2. Порядок формирования резерва кадров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В резерв кадров включаются: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государственные гражданские служащие и муниципальные служащие, занимающие административные должности в данном ор</w:t>
      </w:r>
      <w:r>
        <w:rPr>
          <w:rFonts w:ascii="Arial" w:hAnsi="Arial" w:cs="Arial"/>
        </w:rPr>
        <w:t>гане (далее - служащие);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лица, освобожденные от должности в связи с реорганизацией органа, сокращением штата, продолжительной нетрудоспособностью по состоянию здоровья;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3) граждане Кыргызской Республики, прошедшие открытый конкурсный отбор для включения</w:t>
      </w:r>
      <w:r>
        <w:rPr>
          <w:rFonts w:ascii="Arial" w:hAnsi="Arial" w:cs="Arial"/>
        </w:rPr>
        <w:t xml:space="preserve"> в резерв кадров, отвечающие требованиям, установленным законодательством.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Конкурс на зачисление в резерв кадров (далее - конкурс) объявляется и проводится соответствующим государственным органом, органом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Проведение конкурса вкл</w:t>
      </w:r>
      <w:r>
        <w:rPr>
          <w:rFonts w:ascii="Arial" w:hAnsi="Arial" w:cs="Arial"/>
        </w:rPr>
        <w:t>ючает в себя следующие этапы: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рассмотрение документов участников конкурса на соответствие требованиям, предъявляемым к государственным гражданским служащим и муниципальным служащим;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компьютерное тестирование кандидатов в уполномоченном государственном </w:t>
      </w:r>
      <w:r>
        <w:rPr>
          <w:rFonts w:ascii="Arial" w:hAnsi="Arial" w:cs="Arial"/>
        </w:rPr>
        <w:t>органе по делам государственной службы и местного самоуправления;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собеседование.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В целях проведения конкурса для включения в резерв кадров в каждом государственном органе, органе местного самоуправления создается конкурсная комиссия (далее - конкурсна</w:t>
      </w:r>
      <w:r>
        <w:rPr>
          <w:rFonts w:ascii="Arial" w:hAnsi="Arial" w:cs="Arial"/>
        </w:rPr>
        <w:t>я комиссия). Состав конкурсной комиссии не должен превышать 9 человек.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Состав конкурсной комиссии государственного органа утверждается руководителем государственного органа.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состав конкурсной комиссии в обязательном порядке включаются: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руководитель </w:t>
      </w:r>
      <w:r>
        <w:rPr>
          <w:rFonts w:ascii="Arial" w:hAnsi="Arial" w:cs="Arial"/>
        </w:rPr>
        <w:t>(специалист) службы управления персоналом;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уполномоченный по вопросам предупреждения коррупции (при наличии такового);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представитель гражданского общества и/или ветеран государственной или муниципальной службы (по согласованию).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Председателем конкурсно</w:t>
      </w:r>
      <w:r>
        <w:rPr>
          <w:rFonts w:ascii="Arial" w:hAnsi="Arial" w:cs="Arial"/>
        </w:rPr>
        <w:t xml:space="preserve">й комиссии является заместитель руководителя государственного органа (курирующий кадровую работу), руководитель аппарата, руководитель службы по управлению персоналом государственного органа. При невозможности определения председателем конкурсной комиссии </w:t>
      </w:r>
      <w:r>
        <w:rPr>
          <w:rFonts w:ascii="Arial" w:hAnsi="Arial" w:cs="Arial"/>
        </w:rPr>
        <w:t>заместителя руководителя государственного органа (курирующего кадровую работу), руководителя аппарата, руководителя службы по управлению персоналом - иное должностное лицо, определяемое руководителем государственного органа.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Секретарем конкурсной комиссии </w:t>
      </w:r>
      <w:r>
        <w:rPr>
          <w:rFonts w:ascii="Arial" w:hAnsi="Arial" w:cs="Arial"/>
        </w:rPr>
        <w:t>является уполномоченное лицо по вопросам управления персоналом, определяемое руководителем государственного органа.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подведомственном или территориальном подразделении государственного органа может быть создана конкурсная комиссия, состав которой утвержда</w:t>
      </w:r>
      <w:r>
        <w:rPr>
          <w:rFonts w:ascii="Arial" w:hAnsi="Arial" w:cs="Arial"/>
        </w:rPr>
        <w:t>ется руководителем подведомственного или территориального подразделения государственного органа по согласованию с руководителем государственного органа.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Замещение отсутствующих членов комиссии не допускается.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Состав конкурсной комиссии органа местного с</w:t>
      </w:r>
      <w:r>
        <w:rPr>
          <w:rFonts w:ascii="Arial" w:hAnsi="Arial" w:cs="Arial"/>
        </w:rPr>
        <w:t>амоуправления утверждается руководителем органа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В состав конкурсной комиссии в обязательном порядке включаются: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представитель полномочного представителя Президента Кыргызской Республики в соответствующей области - при </w:t>
      </w:r>
      <w:r>
        <w:rPr>
          <w:rFonts w:ascii="Arial" w:hAnsi="Arial" w:cs="Arial"/>
        </w:rPr>
        <w:t>проведении конкурса в мэрии города областного значения;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представитель местной государственной администрации - при проведении конкурса в мэрии города районного значения и айыл окмоту;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представитель службы управления персоналом либо уполномоченное лицо п</w:t>
      </w:r>
      <w:r>
        <w:rPr>
          <w:rFonts w:ascii="Arial" w:hAnsi="Arial" w:cs="Arial"/>
        </w:rPr>
        <w:t>о вопросам управления персоналом (при наличии таковых);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уполномоченный по вопросам предупреждения коррупции (при наличии такового);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представитель гражданского общества и/или ветеран государственной или муниципальной службы (по согласованию).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Председате</w:t>
      </w:r>
      <w:r>
        <w:rPr>
          <w:rFonts w:ascii="Arial" w:hAnsi="Arial" w:cs="Arial"/>
        </w:rPr>
        <w:t>ль и секретарь конкурсной комиссии определяются руководителем органа местного самоуправления из числа членов конкурсной комиссии.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городах республиканского значения руководитель органа местного самоуправления вправе образовывать в подведомственных/структу</w:t>
      </w:r>
      <w:r>
        <w:rPr>
          <w:rFonts w:ascii="Arial" w:hAnsi="Arial" w:cs="Arial"/>
        </w:rPr>
        <w:t>рных или территориальных подразделениях органов местного самоуправления соответствующие конкурсные комиссии для организации и проведения конкурса. Состав конкурсной комиссии подведомственного/структурного или территориального подразделения, порядок ее рабо</w:t>
      </w:r>
      <w:r>
        <w:rPr>
          <w:rFonts w:ascii="Arial" w:hAnsi="Arial" w:cs="Arial"/>
        </w:rPr>
        <w:t>ты утверждаются руководителем органа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 учетом штатной численности муниципальных служащих местных кенешей в состав конкурсной комиссии местного кенеша могут быть включены депутат (депутаты) местного кенеша и представитель исполнител</w:t>
      </w:r>
      <w:r>
        <w:rPr>
          <w:rFonts w:ascii="Arial" w:hAnsi="Arial" w:cs="Arial"/>
        </w:rPr>
        <w:t>ьного органа местного самоуправления (в качестве секретаря комиссии, по согласованию с главой исполнительного органа местного самоуправления), определяемые председателем местного кенеша.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Организационное обеспечение проведения конкурсного отбора в резерв ка</w:t>
      </w:r>
      <w:r>
        <w:rPr>
          <w:rFonts w:ascii="Arial" w:hAnsi="Arial" w:cs="Arial"/>
        </w:rPr>
        <w:t>дров местного кенеша айылного аймака с численностью населения свыше 6001 человека возлагается на аппарат соответствующего айыл окмоту.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Замещение отсутствующих членов комиссии не допускается.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Государственный орган, орган местного самоуправления в течени</w:t>
      </w:r>
      <w:r>
        <w:rPr>
          <w:rFonts w:ascii="Arial" w:hAnsi="Arial" w:cs="Arial"/>
        </w:rPr>
        <w:t>е двух рабочих дней после издания соответствующего акта о проведении конкурсного отбора в резерв кадров размещает данную информацию на своем ведомственном веб-сайте и направляет текст объявления в уполномоченный государственный орган по делам государственн</w:t>
      </w:r>
      <w:r>
        <w:rPr>
          <w:rFonts w:ascii="Arial" w:hAnsi="Arial" w:cs="Arial"/>
        </w:rPr>
        <w:t>ой службы и местного самоуправления для размещения на его ведомственном веб-сайте.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невозможности, по независящим от государственного органа, органа местного самоуправления обстоятельствам, размещения информации на ведомственном веб-сайте допускается ра</w:t>
      </w:r>
      <w:r>
        <w:rPr>
          <w:rFonts w:ascii="Arial" w:hAnsi="Arial" w:cs="Arial"/>
        </w:rPr>
        <w:t>змещение ее в средствах массовой информации.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Информация о проведении открытого конкурса для включения в резерв кадров обязательно должна содержать следующие сведения: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наименование и юридический адрес государственного органа, органа местного самоуправлени</w:t>
      </w:r>
      <w:r>
        <w:rPr>
          <w:rFonts w:ascii="Arial" w:hAnsi="Arial" w:cs="Arial"/>
        </w:rPr>
        <w:t>я;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квалификационные требования, предъявляемые для включения в резерв кадров;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перечень документов, необходимых для участия в конкурсе;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время и место приема документов.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Объявление может содержать дополнительную информацию, не противоречащую законодател</w:t>
      </w:r>
      <w:r>
        <w:rPr>
          <w:rFonts w:ascii="Arial" w:hAnsi="Arial" w:cs="Arial"/>
        </w:rPr>
        <w:t>ьству Кыргызской Республики.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Конкурс проводится по мере необходимости. При этом численность лиц, включенных по итогам открытого конкурсного отбора в резерв кадров, не должна превышать 100 процентов от общей штатной численности служащих государственного орг</w:t>
      </w:r>
      <w:r>
        <w:rPr>
          <w:rFonts w:ascii="Arial" w:hAnsi="Arial" w:cs="Arial"/>
        </w:rPr>
        <w:t>ана, органа местного самоуправления с учетом сбалансированного подхода на каждую административную должность государственного органа, органа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Лица, изъявившие желание принять участие в отборе, подают заявление и документы в госуд</w:t>
      </w:r>
      <w:r>
        <w:rPr>
          <w:rFonts w:ascii="Arial" w:hAnsi="Arial" w:cs="Arial"/>
        </w:rPr>
        <w:t>арственный орган, орган местного самоуправления, объявивший конкурсный отбор для включения в резерв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Срок приема документов определяется руководителем государственного органа, органа местного самоуправления, но не должен быть менее 10 календарных дн</w:t>
      </w:r>
      <w:r>
        <w:rPr>
          <w:rFonts w:ascii="Arial" w:hAnsi="Arial" w:cs="Arial"/>
        </w:rPr>
        <w:t>ей со дня размещения информации о проведении конкурса. Окончание срока приема документов указывается в тексте объявления о проведении конкурса.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участия в отборе представляются следующие документы: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личное заявление;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резюме (с указанием электронной п</w:t>
      </w:r>
      <w:r>
        <w:rPr>
          <w:rFonts w:ascii="Arial" w:hAnsi="Arial" w:cs="Arial"/>
        </w:rPr>
        <w:t>очты), автобиография (с указанием сведений о наличии либо отсутствии судимости);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копии документов, подтверждающих основное и дополнительное образование (при наличии), заверенные нотариально или по последнему месту работы;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копия трудовой книжки (при нал</w:t>
      </w:r>
      <w:r>
        <w:rPr>
          <w:rFonts w:ascii="Arial" w:hAnsi="Arial" w:cs="Arial"/>
        </w:rPr>
        <w:t>ичии стажа работы), заверенная нотариально или по последнему месту работы;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копии документов о присвоении ученой степени и ученого звания (при наличии);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копия паспорта.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12. Кандидаты для включения в резерв </w:t>
      </w:r>
      <w:r>
        <w:rPr>
          <w:rFonts w:ascii="Arial" w:hAnsi="Arial" w:cs="Arial"/>
        </w:rPr>
        <w:t>кадров должны соответствовать следующим квалификационным требованиям: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для младшей группы административных должностей: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высшее образование - для государственных органов; высшее либо среднее профессиональное образование - для органов местного самоуправле</w:t>
      </w:r>
      <w:r>
        <w:rPr>
          <w:rFonts w:ascii="Arial" w:hAnsi="Arial" w:cs="Arial"/>
        </w:rPr>
        <w:t>ния;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без предъявления требований к стажу работы;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2) для старшей группы административных должностей: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высшее образование;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стаж государственной и/или муниципальной службы по совокупности не менее одного года либо стаж работы в соответствующей профессион</w:t>
      </w:r>
      <w:r>
        <w:rPr>
          <w:rFonts w:ascii="Arial" w:hAnsi="Arial" w:cs="Arial"/>
        </w:rPr>
        <w:t>альной сфере не менее 3 лет;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для главной группы административных должностей: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высшее образование;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13. В течение 10 рабочих дней со дня окончания приема документов комиссия на основе заявлений и документов, представленных в соответствии с настоящим Положением, принимает решение о соответствии (либо несоответствии) кандидатов установленным требованиям и</w:t>
      </w:r>
      <w:r>
        <w:rPr>
          <w:rFonts w:ascii="Arial" w:hAnsi="Arial" w:cs="Arial"/>
        </w:rPr>
        <w:t xml:space="preserve"> их допуске к компьютерному тестированию.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14. Государственный орган, орган местного самоуправления в течение трех рабочих дней после рассмотрения документов подает в уполномоченный государственный орган по делам государственной службы и местного самоуправл</w:t>
      </w:r>
      <w:r>
        <w:rPr>
          <w:rFonts w:ascii="Arial" w:hAnsi="Arial" w:cs="Arial"/>
        </w:rPr>
        <w:t>ения заявки на тестирование участников конкурса.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Компьютерное тестирование проводится уполномоченным государственным органом по делам государственной службы и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15. Этапы компьютерного тестирования подразделяются: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 знание законо</w:t>
      </w:r>
      <w:r>
        <w:rPr>
          <w:rFonts w:ascii="Arial" w:hAnsi="Arial" w:cs="Arial"/>
        </w:rPr>
        <w:t>дательства (общего и предметного);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выявление профессионально значимых личностных качеств кандидата.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Кандидаты, получившие при прохождении компьютерного тестирования на знание законодательства не менее 50 процентов </w:t>
      </w:r>
      <w:r>
        <w:rPr>
          <w:rFonts w:ascii="Arial" w:hAnsi="Arial" w:cs="Arial"/>
        </w:rPr>
        <w:t>баллов от их общего количества, допускаются к этапу компьютерного тестирования на выявление профессионально значимых личностных качеств кандидата.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Пороговый барьер при компьютерном тестировании на выявление профессионально значимых личностных качеств не ус</w:t>
      </w:r>
      <w:r>
        <w:rPr>
          <w:rFonts w:ascii="Arial" w:hAnsi="Arial" w:cs="Arial"/>
        </w:rPr>
        <w:t>танавливается.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После прохождения компьютерного тестирования на выявление профессионально значимых личностных качеств кандидаты допускаются к собеседованию.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Формат, количество вопросов по компьютерному тестированию, перечень нормативных правовых актов, вклю</w:t>
      </w:r>
      <w:r>
        <w:rPr>
          <w:rFonts w:ascii="Arial" w:hAnsi="Arial" w:cs="Arial"/>
        </w:rPr>
        <w:t>чаемых в тестовые задания, определяются уполномоченным государственным органом по делам государственной службы и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Вопросы по предметному законодательству формируются уполномоченным государственным органом по делам государственной сл</w:t>
      </w:r>
      <w:r>
        <w:rPr>
          <w:rFonts w:ascii="Arial" w:hAnsi="Arial" w:cs="Arial"/>
        </w:rPr>
        <w:t>ужбы и местного самоуправления на основании перечня нормативных правовых актов, предлагаемых каждым государственным органом, органом местного самоуправления.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Результаты тестирования оформляются протоколом и передаются секретарю комиссии.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16. Собеседование </w:t>
      </w:r>
      <w:r>
        <w:rPr>
          <w:rFonts w:ascii="Arial" w:hAnsi="Arial" w:cs="Arial"/>
        </w:rPr>
        <w:t>проводится конкурсной комиссией.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 итогам собеседования комиссия принимает решение о рекомендации на зачисление кандидата в резерв кадров либо об отклонении кандидатуры.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Каждый член комиссии голосует только "за" или "против" рекомендации кандидата в соста</w:t>
      </w:r>
      <w:r>
        <w:rPr>
          <w:rFonts w:ascii="Arial" w:hAnsi="Arial" w:cs="Arial"/>
        </w:rPr>
        <w:t>в резерва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Решение комиссии принимается простым большинством голосов членов комиссии, присутствующих на заседании.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случае, когда кандидат набирает равное количество голосов, голос председателя комиссии является решающим.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Заседание комиссии считает</w:t>
      </w:r>
      <w:r>
        <w:rPr>
          <w:rFonts w:ascii="Arial" w:hAnsi="Arial" w:cs="Arial"/>
        </w:rPr>
        <w:t>ся правомочным, если на нем присутствует не менее двух третей ее состава.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17. Решение (акт) комиссии может быть обжаловано в </w:t>
      </w:r>
      <w:bookmarkStart w:id="2" w:name="_GoBack"/>
      <w:r>
        <w:rPr>
          <w:rFonts w:ascii="Arial" w:hAnsi="Arial" w:cs="Arial"/>
        </w:rPr>
        <w:t>судеб</w:t>
      </w:r>
      <w:bookmarkEnd w:id="2"/>
      <w:r>
        <w:rPr>
          <w:rFonts w:ascii="Arial" w:hAnsi="Arial" w:cs="Arial"/>
        </w:rPr>
        <w:t>ном порядке.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18. По итогам конкурса лица, успешно прошедшие конкурсный отбор, включаются в резерв кадров приказом (иным </w:t>
      </w:r>
      <w:r>
        <w:rPr>
          <w:rFonts w:ascii="Arial" w:hAnsi="Arial" w:cs="Arial"/>
        </w:rPr>
        <w:t>распорядительным документом) руководителя государственного органа, органа местного самоуправления на основании решения (акта) конкурсной комиссии в течение 3 рабочих дней.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19. Вопросы организационного характера по проведению отбора, не урегулированные наст</w:t>
      </w:r>
      <w:r>
        <w:rPr>
          <w:rFonts w:ascii="Arial" w:hAnsi="Arial" w:cs="Arial"/>
        </w:rPr>
        <w:t>оящим Положением, определяются комиссией.</w:t>
      </w:r>
    </w:p>
    <w:p w:rsidR="00000000" w:rsidRDefault="001403F2">
      <w:pPr>
        <w:spacing w:before="200" w:after="200" w:line="276" w:lineRule="auto"/>
        <w:ind w:left="1134" w:right="1134"/>
        <w:jc w:val="center"/>
      </w:pPr>
      <w:bookmarkStart w:id="3" w:name="r3"/>
      <w:bookmarkEnd w:id="3"/>
      <w:r>
        <w:rPr>
          <w:rFonts w:ascii="Arial" w:hAnsi="Arial" w:cs="Arial"/>
          <w:b/>
          <w:bCs/>
        </w:rPr>
        <w:t>3. Порядок функционирования резерва кадров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20. Назначение на вакантную административную должность осуществляется руководителем государственного органа, органа местного самоуправления из числа лиц, состоящих в резер</w:t>
      </w:r>
      <w:r>
        <w:rPr>
          <w:rFonts w:ascii="Arial" w:hAnsi="Arial" w:cs="Arial"/>
        </w:rPr>
        <w:t>ве кадров государственного органа или органа местного самоуправления, либо в порядке ротации в соответствии с законодательством.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целях обеспечения наиболее подготовленными профессиональными кадрами руководитель государственного органа, органа местного са</w:t>
      </w:r>
      <w:r>
        <w:rPr>
          <w:rFonts w:ascii="Arial" w:hAnsi="Arial" w:cs="Arial"/>
        </w:rPr>
        <w:t>моуправления вправе определить порядок представления, включая критерии отбора, для назначения из резерва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21. Государственные гражданские служащие и муниципальные служащие, занимающие административные должности в данном органе, автоматически считают</w:t>
      </w:r>
      <w:r>
        <w:rPr>
          <w:rFonts w:ascii="Arial" w:hAnsi="Arial" w:cs="Arial"/>
        </w:rPr>
        <w:t>ся зачисленными в соответствующую их стажу работы группу (главную, старшую и младшую) резерва кадров государственного органа, органа местного самоуправления без издания соответствующего решения (акта) руководителя.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состоящие в резерве кадров на замещ</w:t>
      </w:r>
      <w:r>
        <w:rPr>
          <w:rFonts w:ascii="Arial" w:hAnsi="Arial" w:cs="Arial"/>
        </w:rPr>
        <w:t>ение главных административных государственных должностей и муниципальных должностей, могут претендовать на замещение главной, старшей и младшей группы административных государственных и муниципальных должностей.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состоящие в резерве кадров на замещени</w:t>
      </w:r>
      <w:r>
        <w:rPr>
          <w:rFonts w:ascii="Arial" w:hAnsi="Arial" w:cs="Arial"/>
        </w:rPr>
        <w:t xml:space="preserve">е старших административных государственных должностей и муниципальных должностей, могут претендовать на </w:t>
      </w:r>
      <w:r>
        <w:rPr>
          <w:rFonts w:ascii="Arial" w:hAnsi="Arial" w:cs="Arial"/>
        </w:rPr>
        <w:lastRenderedPageBreak/>
        <w:t>замещение старшей и младшей группы административных государственных и муниципальных должностей.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состоящие в резерве кадров на замещение младших ад</w:t>
      </w:r>
      <w:r>
        <w:rPr>
          <w:rFonts w:ascii="Arial" w:hAnsi="Arial" w:cs="Arial"/>
        </w:rPr>
        <w:t>министративных государственных должностей и муниципальных должностей, могут претендовать на замещение младшей группы административных государственных и муниципальных должностей.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22. Лицо, освобожденное от должности в связи с реорганизацией органа, сокращен</w:t>
      </w:r>
      <w:r>
        <w:rPr>
          <w:rFonts w:ascii="Arial" w:hAnsi="Arial" w:cs="Arial"/>
        </w:rPr>
        <w:t>ием штата, продолжительной нетрудоспособностью по состоянию здоровья, включается в резерв кадров данного государственного органа, органа местного самоуправления в соответствующую его стажу работы группу (главную, старшую и младшую) резерва кадров на основа</w:t>
      </w:r>
      <w:r>
        <w:rPr>
          <w:rFonts w:ascii="Arial" w:hAnsi="Arial" w:cs="Arial"/>
        </w:rPr>
        <w:t xml:space="preserve">нии письменного заявления. Данное заявление должно быть подано не позднее трех месяцев со дня ознакомления с решением об освобождении. Руководитель государственного органа, органа местного самоуправления в течение трех рабочих дней со дня подачи заявления </w:t>
      </w:r>
      <w:r>
        <w:rPr>
          <w:rFonts w:ascii="Arial" w:hAnsi="Arial" w:cs="Arial"/>
        </w:rPr>
        <w:t>издает соответствующее решение (акт) о включении данного лица в резерв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23. Срок пребывания резервиста в резерве кадров для лиц, прошедших открытый конкурсный отбор, и лиц, освобожденных от должности в связи с реорганизацией органа, сокращением штат</w:t>
      </w:r>
      <w:r>
        <w:rPr>
          <w:rFonts w:ascii="Arial" w:hAnsi="Arial" w:cs="Arial"/>
        </w:rPr>
        <w:t>а, продолжительной нетрудоспособностью по состоянию здоровья, составляет 3 года со дня включения в резерв кадров.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24. Назначение на вакантную административную государственную должность руководителя территориального подразделения районного уровня (за исключ</w:t>
      </w:r>
      <w:r>
        <w:rPr>
          <w:rFonts w:ascii="Arial" w:hAnsi="Arial" w:cs="Arial"/>
        </w:rPr>
        <w:t>ением территориального подразделения/структуры подведомственного подразделения государственного органа) министерства, государственного комитета, административного ведомства осуществляется главой местной государственной администрации (далее - аким) в следую</w:t>
      </w:r>
      <w:r>
        <w:rPr>
          <w:rFonts w:ascii="Arial" w:hAnsi="Arial" w:cs="Arial"/>
        </w:rPr>
        <w:t>щем порядке: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руководитель министерства, государственного комитета, административного ведомства в течение 7 рабочих дней со дня образования вакансии представляет акиму не менее 3 кандидатур, соответствующих квалификационным требованиям, из числа лиц, сост</w:t>
      </w:r>
      <w:r>
        <w:rPr>
          <w:rFonts w:ascii="Arial" w:hAnsi="Arial" w:cs="Arial"/>
        </w:rPr>
        <w:t>оящих в резерве кадров соответствующего государственного органа (министерства, государственного комитета, административного ведомства);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аким в течение 3 рабочих дней со дня получения представления издает соответствующий акт о назначении на должность одно</w:t>
      </w:r>
      <w:r>
        <w:rPr>
          <w:rFonts w:ascii="Arial" w:hAnsi="Arial" w:cs="Arial"/>
        </w:rPr>
        <w:t>го из предложенных кандидатов либо отклоняет предложенные кандидатуры с направлением в адрес руководителя государственного органа, внесшего данные кандидатуры, письма, в котором отражаются обоснованные причины отклонения кандидатур;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после получения письм</w:t>
      </w:r>
      <w:r>
        <w:rPr>
          <w:rFonts w:ascii="Arial" w:hAnsi="Arial" w:cs="Arial"/>
        </w:rPr>
        <w:t>а об отклонении акимом кандидатур руководитель государственного органа в течение 3 рабочих дней (при наличии кандидатур) повторно вносит другие кандидатуры (не более 2 кандидатур), соответствующие квалификационным требованиям, из числа лиц, состоящих в рез</w:t>
      </w:r>
      <w:r>
        <w:rPr>
          <w:rFonts w:ascii="Arial" w:hAnsi="Arial" w:cs="Arial"/>
        </w:rPr>
        <w:t>ерве кадров соответствующего государственного органа;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при отсутствии в резерве кадров других кандидатур руководитель государственного органа вправе внести ранее представленные кандидатуры;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в случае повторного внесения кандидатур аким назначает одного и</w:t>
      </w:r>
      <w:r>
        <w:rPr>
          <w:rFonts w:ascii="Arial" w:hAnsi="Arial" w:cs="Arial"/>
        </w:rPr>
        <w:t>з повторно предложенных кандидатур в течение 2 рабочих дней со дня получения представления.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25. Назначение на вакантную административную государственную должность руководителя городского подразделения (за исключением территориального подразделения/структур</w:t>
      </w:r>
      <w:r>
        <w:rPr>
          <w:rFonts w:ascii="Arial" w:hAnsi="Arial" w:cs="Arial"/>
        </w:rPr>
        <w:t>ы подведомственного подразделения государственного органа) министерства, государственного комитета, административного ведомства осуществляется мэром города в следующем порядке: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руководитель министерства, государственного комитета, административного ведом</w:t>
      </w:r>
      <w:r>
        <w:rPr>
          <w:rFonts w:ascii="Arial" w:hAnsi="Arial" w:cs="Arial"/>
        </w:rPr>
        <w:t>ства в течение 7 рабочих дней со дня образования вакансии представляет мэру города не менее 3 кандидатур, соответствующих квалификационным требованиям, из числа лиц, состоящих в резерве кадров соответствующего государственного органа (министерства, государ</w:t>
      </w:r>
      <w:r>
        <w:rPr>
          <w:rFonts w:ascii="Arial" w:hAnsi="Arial" w:cs="Arial"/>
        </w:rPr>
        <w:t>ственного комитета, административного ведомства);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мэр города в течение 3 рабочих дней со дня получения представления издает соответствующий акт о назначении на должность одного из предложенных кандидатов либо отклоняет предложенные кандидатуры с направле</w:t>
      </w:r>
      <w:r>
        <w:rPr>
          <w:rFonts w:ascii="Arial" w:hAnsi="Arial" w:cs="Arial"/>
        </w:rPr>
        <w:t>нием в адрес руководителя государственного органа, внесшего данные кандидатуры, письма, в котором отражаются обоснованные причины отклонения кандидатур;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после получения письма об отклонении мэром города кандидатур руководитель государственного органа в т</w:t>
      </w:r>
      <w:r>
        <w:rPr>
          <w:rFonts w:ascii="Arial" w:hAnsi="Arial" w:cs="Arial"/>
        </w:rPr>
        <w:t>ечение 3 рабочих дней (при наличии кандидатур) повторно вносит другие кандидатуры (не более 2 кандидатур), соответствующих квалификационным требованиям, из числа лиц, состоящих в резерве кадров соответствующего государственного органа;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при отсутствии в р</w:t>
      </w:r>
      <w:r>
        <w:rPr>
          <w:rFonts w:ascii="Arial" w:hAnsi="Arial" w:cs="Arial"/>
        </w:rPr>
        <w:t>езерве кадров других кандидатур руководитель государственного органа вправе внести ранее представленные кандидатуры;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случае повторного внесения кандидатур мэр назначает одного из повторно предложенных кандидатур в течение 2 рабочих дней со дня получени</w:t>
      </w:r>
      <w:r>
        <w:rPr>
          <w:rFonts w:ascii="Arial" w:hAnsi="Arial" w:cs="Arial"/>
        </w:rPr>
        <w:t>я представления.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26. Несоблюдение сроков представления и назначения, установленных настоящим Положением, не является нарушением, если сроки нарушены по уважительным причинам независящим от государственного органа/органа местного самоуправления.</w:t>
      </w:r>
    </w:p>
    <w:p w:rsidR="00000000" w:rsidRDefault="001403F2">
      <w:pPr>
        <w:spacing w:before="200" w:after="200" w:line="276" w:lineRule="auto"/>
        <w:ind w:left="1134" w:right="1134"/>
        <w:jc w:val="center"/>
      </w:pPr>
      <w:bookmarkStart w:id="4" w:name="r4"/>
      <w:bookmarkEnd w:id="4"/>
      <w:r>
        <w:rPr>
          <w:rFonts w:ascii="Arial" w:hAnsi="Arial" w:cs="Arial"/>
          <w:b/>
          <w:bCs/>
        </w:rPr>
        <w:t xml:space="preserve">4. Порядок </w:t>
      </w:r>
      <w:r>
        <w:rPr>
          <w:rFonts w:ascii="Arial" w:hAnsi="Arial" w:cs="Arial"/>
          <w:b/>
          <w:bCs/>
        </w:rPr>
        <w:t>исключения из резерва кадров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27. Лицо, состоящее в резерве кадров, исключается из его состава, в случае: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утраты гражданства Кыргызской Республики;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признания решением суда недееспособным;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запрета обвинительным приговором суда осуществлять деятельность</w:t>
      </w:r>
      <w:r>
        <w:rPr>
          <w:rFonts w:ascii="Arial" w:hAnsi="Arial" w:cs="Arial"/>
        </w:rPr>
        <w:t xml:space="preserve"> в качестве служащего или занимать определенные должности государственной и муниципальной службы;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связи с освобождением от занимаемой должности в государственном органе, органе местного самоуправления, в котором он состоит в резерве кадров;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истечения</w:t>
      </w:r>
      <w:r>
        <w:rPr>
          <w:rFonts w:ascii="Arial" w:hAnsi="Arial" w:cs="Arial"/>
        </w:rPr>
        <w:t xml:space="preserve"> срока пребывания в резерве кадров;</w:t>
      </w:r>
    </w:p>
    <w:p w:rsidR="00000000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подачи личного заявления о выходе из резерва кадров.</w:t>
      </w:r>
    </w:p>
    <w:p w:rsidR="001403F2" w:rsidRDefault="001403F2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28. Решение об исключении из состава резерва кадров оформляется соответствующим актом руководителя государственного органа, органа местного самоуправления.</w:t>
      </w:r>
    </w:p>
    <w:sectPr w:rsidR="0014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45C6"/>
    <w:rsid w:val="001403F2"/>
    <w:rsid w:val="00B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D5E8-54AE-4C55-9A4F-89E5AFD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430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2022-10-28T09:17:00Z</dcterms:created>
  <dcterms:modified xsi:type="dcterms:W3CDTF">2022-10-28T09:17:00Z</dcterms:modified>
</cp:coreProperties>
</file>