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D2" w:rsidRDefault="00E619D2" w:rsidP="00E619D2">
      <w:pPr>
        <w:shd w:val="clear" w:color="auto" w:fill="FFFFFF"/>
        <w:spacing w:before="100" w:beforeAutospacing="1" w:after="100" w:afterAutospacing="1" w:line="390" w:lineRule="atLeast"/>
        <w:ind w:left="1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E619D2" w:rsidRDefault="00E619D2" w:rsidP="00E619D2">
      <w:pPr>
        <w:shd w:val="clear" w:color="auto" w:fill="FFFFFF"/>
        <w:spacing w:before="100" w:beforeAutospacing="1" w:after="100" w:afterAutospacing="1" w:line="390" w:lineRule="atLeast"/>
        <w:ind w:left="1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«Укрепление основ обучения»</w:t>
      </w:r>
    </w:p>
    <w:p w:rsidR="00490B3F" w:rsidRPr="00B66F71" w:rsidRDefault="00E619D2" w:rsidP="00E619D2">
      <w:pPr>
        <w:shd w:val="clear" w:color="auto" w:fill="FFFFFF"/>
        <w:spacing w:before="100" w:beforeAutospacing="1" w:after="100" w:afterAutospacing="1" w:line="390" w:lineRule="atLeast"/>
        <w:ind w:left="1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B66F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B66F71">
        <w:rPr>
          <w:rFonts w:ascii="Times New Roman" w:hAnsi="Times New Roman" w:cs="Times New Roman"/>
          <w:b/>
          <w:sz w:val="24"/>
          <w:szCs w:val="24"/>
        </w:rPr>
        <w:t>№ KG/GPE/IOC/IC-17</w:t>
      </w:r>
      <w:bookmarkEnd w:id="0"/>
    </w:p>
    <w:p w:rsidR="00E619D2" w:rsidRDefault="00E619D2" w:rsidP="00E619D2">
      <w:pPr>
        <w:shd w:val="clear" w:color="auto" w:fill="FFFFFF"/>
        <w:spacing w:before="100" w:beforeAutospacing="1" w:after="100" w:afterAutospacing="1" w:line="390" w:lineRule="atLeast"/>
        <w:ind w:left="1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 по </w:t>
      </w:r>
      <w:r w:rsidR="00C548D1">
        <w:rPr>
          <w:rFonts w:ascii="Times New Roman" w:hAnsi="Times New Roman" w:cs="Times New Roman"/>
          <w:b/>
          <w:sz w:val="24"/>
          <w:szCs w:val="24"/>
        </w:rPr>
        <w:t xml:space="preserve">социальным вопросам </w:t>
      </w:r>
    </w:p>
    <w:p w:rsidR="00A151A7" w:rsidRPr="000976D8" w:rsidRDefault="00A151A7" w:rsidP="00D4018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6D8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226902" w:rsidRPr="00226902" w:rsidRDefault="00226902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02">
        <w:rPr>
          <w:rFonts w:ascii="Times New Roman" w:hAnsi="Times New Roman" w:cs="Times New Roman"/>
          <w:sz w:val="24"/>
          <w:szCs w:val="24"/>
        </w:rPr>
        <w:t xml:space="preserve">Система образования Кыргызстана включает в себя дошкольное образования для детей в возрасте от 1 до 6 лет, начальное образование (1 - 4 классы), неполное среднее образование (5 – 9 классы), среднее образование (10 и 11 классы), а также </w:t>
      </w:r>
      <w:r w:rsidR="00C6276A">
        <w:rPr>
          <w:rFonts w:ascii="Times New Roman" w:hAnsi="Times New Roman" w:cs="Times New Roman"/>
          <w:sz w:val="24"/>
          <w:szCs w:val="24"/>
        </w:rPr>
        <w:t>начальное,</w:t>
      </w:r>
      <w:r w:rsidR="00C6276A" w:rsidRPr="00C6276A">
        <w:rPr>
          <w:rFonts w:ascii="Times New Roman" w:hAnsi="Times New Roman" w:cs="Times New Roman"/>
          <w:sz w:val="24"/>
          <w:szCs w:val="24"/>
        </w:rPr>
        <w:t xml:space="preserve"> </w:t>
      </w:r>
      <w:r w:rsidRPr="00226902">
        <w:rPr>
          <w:rFonts w:ascii="Times New Roman" w:hAnsi="Times New Roman" w:cs="Times New Roman"/>
          <w:sz w:val="24"/>
          <w:szCs w:val="24"/>
        </w:rPr>
        <w:t xml:space="preserve">среднее и высшее профессиональное образование. Начальное и неполное среднее образование являются обязательными. В 2009 году в организациях образования всех уровней насчитывалось около 1,1 млн. учащихся, из которых около 400 тысяч обучались в начальных классах. Девяносто восемь процентов, учащихся учатся в государственных </w:t>
      </w:r>
      <w:r w:rsidR="00C6276A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226902">
        <w:rPr>
          <w:rFonts w:ascii="Times New Roman" w:hAnsi="Times New Roman" w:cs="Times New Roman"/>
          <w:sz w:val="24"/>
          <w:szCs w:val="24"/>
        </w:rPr>
        <w:t>школах и более двух третей из них учится в   сельской местности.</w:t>
      </w:r>
    </w:p>
    <w:p w:rsidR="00226902" w:rsidRPr="00226902" w:rsidRDefault="00226902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02">
        <w:rPr>
          <w:rFonts w:ascii="Times New Roman" w:hAnsi="Times New Roman" w:cs="Times New Roman"/>
          <w:sz w:val="24"/>
          <w:szCs w:val="24"/>
        </w:rPr>
        <w:t xml:space="preserve">В </w:t>
      </w:r>
      <w:r w:rsidR="00C6276A">
        <w:rPr>
          <w:rFonts w:ascii="Times New Roman" w:hAnsi="Times New Roman" w:cs="Times New Roman"/>
          <w:sz w:val="24"/>
          <w:szCs w:val="24"/>
        </w:rPr>
        <w:t>течение последнего десятилетия П</w:t>
      </w:r>
      <w:r w:rsidRPr="00226902">
        <w:rPr>
          <w:rFonts w:ascii="Times New Roman" w:hAnsi="Times New Roman" w:cs="Times New Roman"/>
          <w:sz w:val="24"/>
          <w:szCs w:val="24"/>
        </w:rPr>
        <w:t xml:space="preserve">равительство </w:t>
      </w:r>
      <w:r w:rsidR="00C6276A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Pr="00226902">
        <w:rPr>
          <w:rFonts w:ascii="Times New Roman" w:hAnsi="Times New Roman" w:cs="Times New Roman"/>
          <w:sz w:val="24"/>
          <w:szCs w:val="24"/>
        </w:rPr>
        <w:t xml:space="preserve">продемонстрировало устойчивые финансовые обязательства в отношении образования (в среднем 6,2% ВВП в год), несмотря на сложную экономическую ситуацию и усиливающуюся политическую нестабильность. Это привело </w:t>
      </w:r>
      <w:r w:rsidR="00440C43" w:rsidRPr="00226902">
        <w:rPr>
          <w:rFonts w:ascii="Times New Roman" w:hAnsi="Times New Roman" w:cs="Times New Roman"/>
          <w:sz w:val="24"/>
          <w:szCs w:val="24"/>
        </w:rPr>
        <w:t>к незначительному увеличению</w:t>
      </w:r>
      <w:r w:rsidRPr="00226902">
        <w:rPr>
          <w:rFonts w:ascii="Times New Roman" w:hAnsi="Times New Roman" w:cs="Times New Roman"/>
          <w:sz w:val="24"/>
          <w:szCs w:val="24"/>
        </w:rPr>
        <w:t xml:space="preserve"> охвата основным образованием с 85% до 87,8% </w:t>
      </w:r>
      <w:r w:rsidR="00440C43">
        <w:rPr>
          <w:rFonts w:ascii="Times New Roman" w:hAnsi="Times New Roman" w:cs="Times New Roman"/>
          <w:sz w:val="24"/>
          <w:szCs w:val="24"/>
        </w:rPr>
        <w:t>и</w:t>
      </w:r>
      <w:r w:rsidRPr="00226902">
        <w:rPr>
          <w:rFonts w:ascii="Times New Roman" w:hAnsi="Times New Roman" w:cs="Times New Roman"/>
          <w:sz w:val="24"/>
          <w:szCs w:val="24"/>
        </w:rPr>
        <w:t xml:space="preserve"> высокому уровню грамотности (99,2%).</w:t>
      </w:r>
    </w:p>
    <w:p w:rsidR="00226902" w:rsidRPr="00226902" w:rsidRDefault="00226902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02">
        <w:rPr>
          <w:rFonts w:ascii="Times New Roman" w:hAnsi="Times New Roman" w:cs="Times New Roman"/>
          <w:sz w:val="24"/>
          <w:szCs w:val="24"/>
        </w:rPr>
        <w:t xml:space="preserve">Несмотря на эти инвестиции, доступность и качество </w:t>
      </w:r>
      <w:r w:rsidR="00440C43">
        <w:rPr>
          <w:rFonts w:ascii="Times New Roman" w:hAnsi="Times New Roman" w:cs="Times New Roman"/>
          <w:sz w:val="24"/>
          <w:szCs w:val="24"/>
        </w:rPr>
        <w:t>дошкольного образования (</w:t>
      </w:r>
      <w:r w:rsidRPr="00226902">
        <w:rPr>
          <w:rFonts w:ascii="Times New Roman" w:hAnsi="Times New Roman" w:cs="Times New Roman"/>
          <w:sz w:val="24"/>
          <w:szCs w:val="24"/>
        </w:rPr>
        <w:t>ДО</w:t>
      </w:r>
      <w:r w:rsidR="00440C43">
        <w:rPr>
          <w:rFonts w:ascii="Times New Roman" w:hAnsi="Times New Roman" w:cs="Times New Roman"/>
          <w:sz w:val="24"/>
          <w:szCs w:val="24"/>
        </w:rPr>
        <w:t>)</w:t>
      </w:r>
      <w:r w:rsidRPr="00226902">
        <w:rPr>
          <w:rFonts w:ascii="Times New Roman" w:hAnsi="Times New Roman" w:cs="Times New Roman"/>
          <w:sz w:val="24"/>
          <w:szCs w:val="24"/>
        </w:rPr>
        <w:t xml:space="preserve"> в Кыргызской Республике остаются очень низкими. До развала Советского Союза 34% детей в возрасте 3-6 лет были охвачены дошкольным образованием. В последующие годы этот показатель значительно снизился, особенно в сельской местности. По состоянию на 2010 год только 18% детей в возрасте 3-6 лет посещали дошкольные</w:t>
      </w:r>
      <w:r w:rsidR="00440C43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Pr="00226902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440C43" w:rsidRPr="00226902">
        <w:rPr>
          <w:rFonts w:ascii="Times New Roman" w:hAnsi="Times New Roman" w:cs="Times New Roman"/>
          <w:sz w:val="24"/>
          <w:szCs w:val="24"/>
        </w:rPr>
        <w:t>доступ к</w:t>
      </w:r>
      <w:r w:rsidRPr="00226902">
        <w:rPr>
          <w:rFonts w:ascii="Times New Roman" w:hAnsi="Times New Roman" w:cs="Times New Roman"/>
          <w:sz w:val="24"/>
          <w:szCs w:val="24"/>
        </w:rPr>
        <w:t xml:space="preserve"> ДО остается в высшей степени неравномерным в зависимости от сельской / городской местности и социально-экономического статуса населения.</w:t>
      </w:r>
    </w:p>
    <w:p w:rsidR="00226902" w:rsidRPr="00117D1B" w:rsidRDefault="000976D8" w:rsidP="00F1270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D8"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117D1B" w:rsidRDefault="00440C43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проекта </w:t>
      </w:r>
      <w:r w:rsidRPr="00226902">
        <w:rPr>
          <w:rFonts w:ascii="Times New Roman" w:hAnsi="Times New Roman" w:cs="Times New Roman"/>
          <w:sz w:val="24"/>
          <w:szCs w:val="24"/>
        </w:rPr>
        <w:t>является</w:t>
      </w:r>
      <w:r w:rsidR="00A151A7" w:rsidRPr="00226902">
        <w:rPr>
          <w:rFonts w:ascii="Times New Roman" w:hAnsi="Times New Roman" w:cs="Times New Roman"/>
          <w:sz w:val="24"/>
          <w:szCs w:val="24"/>
        </w:rPr>
        <w:t xml:space="preserve"> увеличение равного доступа к дошкольному образованию, а также создание условий для повышения его качества. Дошкольные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A151A7" w:rsidRPr="00226902">
        <w:rPr>
          <w:rFonts w:ascii="Times New Roman" w:hAnsi="Times New Roman" w:cs="Times New Roman"/>
          <w:sz w:val="24"/>
          <w:szCs w:val="24"/>
        </w:rPr>
        <w:t>организации с благоприятными условиями пребывания составляют основу проекта. Проект будет использовать многосторонний подход, состоит из трех компонентов и нескольких подкомпонентов, как описывается ниже.</w:t>
      </w:r>
    </w:p>
    <w:p w:rsidR="00A151A7" w:rsidRDefault="00117D1B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1B">
        <w:rPr>
          <w:rFonts w:ascii="Times New Roman" w:hAnsi="Times New Roman" w:cs="Times New Roman"/>
          <w:sz w:val="24"/>
          <w:szCs w:val="24"/>
        </w:rPr>
        <w:t>Дошкольные</w:t>
      </w:r>
      <w:r w:rsidR="00440C43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Pr="00117D1B">
        <w:rPr>
          <w:rFonts w:ascii="Times New Roman" w:hAnsi="Times New Roman" w:cs="Times New Roman"/>
          <w:sz w:val="24"/>
          <w:szCs w:val="24"/>
        </w:rPr>
        <w:t xml:space="preserve"> организации с благоприятными условиями пребывания составляют основу проекта. Проект состоит из двух взаимодополняющих компонентов, а также компонента для поддержки реализации. Первый компонент сфокусирован на расширении доступа к качес</w:t>
      </w:r>
      <w:r w:rsidR="00440C43">
        <w:rPr>
          <w:rFonts w:ascii="Times New Roman" w:hAnsi="Times New Roman" w:cs="Times New Roman"/>
          <w:sz w:val="24"/>
          <w:szCs w:val="24"/>
        </w:rPr>
        <w:t>твенному дошкольному образованию</w:t>
      </w:r>
      <w:r w:rsidRPr="00117D1B">
        <w:rPr>
          <w:rFonts w:ascii="Times New Roman" w:hAnsi="Times New Roman" w:cs="Times New Roman"/>
          <w:sz w:val="24"/>
          <w:szCs w:val="24"/>
        </w:rPr>
        <w:t xml:space="preserve"> для бедных и уязвимых слоев населения в том числе этнических меньшинств и детей с особыми образовательными потребностями. Второй компонент направлен на улучшение политики, программ и эффективности системы. Успешная реализация этих двух компонентов, в конечном итоге, будет способствовать улучшению результативности обучения на уровне базового </w:t>
      </w:r>
      <w:r w:rsidRPr="00117D1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для всех. Третий компонент финансирует информирование и взаимодействие всех заинтересованных сторон, мониторинг и </w:t>
      </w:r>
      <w:r w:rsidR="00440C43" w:rsidRPr="00117D1B">
        <w:rPr>
          <w:rFonts w:ascii="Times New Roman" w:hAnsi="Times New Roman" w:cs="Times New Roman"/>
          <w:sz w:val="24"/>
          <w:szCs w:val="24"/>
        </w:rPr>
        <w:t>оценку,</w:t>
      </w:r>
      <w:r w:rsidRPr="00117D1B">
        <w:rPr>
          <w:rFonts w:ascii="Times New Roman" w:hAnsi="Times New Roman" w:cs="Times New Roman"/>
          <w:sz w:val="24"/>
          <w:szCs w:val="24"/>
        </w:rPr>
        <w:t xml:space="preserve"> и операционные расходы для поддержки реализации Проекта. </w:t>
      </w:r>
    </w:p>
    <w:p w:rsidR="00117D1B" w:rsidRPr="00117D1B" w:rsidRDefault="00117D1B" w:rsidP="00F1270E">
      <w:p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56000038"/>
      <w:bookmarkStart w:id="2" w:name="_Toc256000006"/>
      <w:bookmarkStart w:id="3" w:name="_Toc433982411"/>
      <w:bookmarkStart w:id="4" w:name="_Toc460509193"/>
      <w:bookmarkStart w:id="5" w:name="_Toc256001092"/>
      <w:bookmarkStart w:id="6" w:name="_Toc256001063"/>
      <w:bookmarkStart w:id="7" w:name="_Toc256001034"/>
      <w:bookmarkStart w:id="8" w:name="_Toc256001005"/>
      <w:bookmarkStart w:id="9" w:name="_Toc256000976"/>
      <w:bookmarkStart w:id="10" w:name="_Toc256000947"/>
      <w:bookmarkStart w:id="11" w:name="_Toc256000918"/>
      <w:bookmarkStart w:id="12" w:name="_Toc256000889"/>
      <w:bookmarkStart w:id="13" w:name="_Toc256000860"/>
      <w:bookmarkStart w:id="14" w:name="_Toc256000831"/>
      <w:bookmarkStart w:id="15" w:name="_Toc256000802"/>
      <w:bookmarkStart w:id="16" w:name="_Toc256000773"/>
      <w:bookmarkStart w:id="17" w:name="_Toc256000744"/>
      <w:bookmarkStart w:id="18" w:name="_Toc256000715"/>
      <w:bookmarkStart w:id="19" w:name="_Toc256000686"/>
      <w:bookmarkStart w:id="20" w:name="_Toc256000657"/>
      <w:bookmarkStart w:id="21" w:name="_Toc256000628"/>
      <w:bookmarkStart w:id="22" w:name="_Toc256000599"/>
      <w:bookmarkStart w:id="23" w:name="_Toc256000570"/>
      <w:bookmarkStart w:id="24" w:name="_Toc256000542"/>
      <w:bookmarkStart w:id="25" w:name="_Toc256000514"/>
      <w:bookmarkStart w:id="26" w:name="_Toc256000485"/>
      <w:bookmarkStart w:id="27" w:name="_Toc256000457"/>
      <w:bookmarkStart w:id="28" w:name="_Toc256000429"/>
      <w:bookmarkStart w:id="29" w:name="_Toc256000401"/>
      <w:bookmarkStart w:id="30" w:name="_Toc256000373"/>
      <w:bookmarkStart w:id="31" w:name="_Toc256000345"/>
      <w:bookmarkStart w:id="32" w:name="_Toc256000317"/>
      <w:bookmarkStart w:id="33" w:name="_Toc256000289"/>
      <w:bookmarkStart w:id="34" w:name="_Toc256000262"/>
      <w:bookmarkStart w:id="35" w:name="_Toc256000233"/>
      <w:bookmarkStart w:id="36" w:name="_Toc256000207"/>
      <w:bookmarkStart w:id="37" w:name="_Toc256000181"/>
      <w:bookmarkStart w:id="38" w:name="_Toc256000155"/>
      <w:bookmarkStart w:id="39" w:name="_Toc256000129"/>
      <w:bookmarkStart w:id="40" w:name="_Toc256000103"/>
      <w:bookmarkStart w:id="41" w:name="_Toc256000077"/>
      <w:bookmarkStart w:id="42" w:name="_Toc256000043"/>
      <w:bookmarkStart w:id="43" w:name="_Toc256000009"/>
      <w:bookmarkStart w:id="44" w:name="_Toc505105132"/>
      <w:bookmarkStart w:id="45" w:name="_Toc10816480"/>
      <w:bookmarkStart w:id="46" w:name="_Toc23426832"/>
      <w:bookmarkStart w:id="47" w:name="_Toc26447142"/>
      <w:bookmarkStart w:id="48" w:name="_Toc26533761"/>
      <w:bookmarkStart w:id="49" w:name="_Toc27135733"/>
      <w:bookmarkStart w:id="50" w:name="_Toc27387545"/>
      <w:bookmarkStart w:id="51" w:name="_Toc27583390"/>
      <w:bookmarkStart w:id="52" w:name="_Toc32324955"/>
      <w:r w:rsidRPr="00117D1B">
        <w:rPr>
          <w:rFonts w:ascii="Times New Roman" w:hAnsi="Times New Roman" w:cs="Times New Roman"/>
          <w:b/>
          <w:bCs/>
          <w:sz w:val="24"/>
          <w:szCs w:val="24"/>
        </w:rPr>
        <w:t>Компоненты проекта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117D1B" w:rsidRDefault="00117D1B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D1B">
        <w:rPr>
          <w:rFonts w:ascii="Times New Roman" w:hAnsi="Times New Roman" w:cs="Times New Roman"/>
          <w:i/>
          <w:iCs/>
          <w:sz w:val="24"/>
          <w:szCs w:val="24"/>
        </w:rPr>
        <w:t xml:space="preserve">Компонент 1: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13"/>
          <w:id w:val="-1129695250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50"/>
          <w:id w:val="-218207123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89"/>
          <w:id w:val="-298390843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628"/>
          <w:id w:val="97610369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668"/>
          <w:id w:val="1058290090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710"/>
          <w:id w:val="1926069648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753"/>
          <w:id w:val="181782790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799"/>
          <w:id w:val="981668338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845"/>
          <w:id w:val="-1353797156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892"/>
          <w:id w:val="-1346013197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941"/>
          <w:id w:val="315436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991"/>
          <w:id w:val="133993682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042"/>
          <w:id w:val="-1492172401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095"/>
          <w:id w:val="1426379706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150"/>
          <w:id w:val="-112055802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207"/>
          <w:id w:val="-204906482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266"/>
          <w:id w:val="-1865437190"/>
        </w:sdtPr>
        <w:sdtEndPr/>
        <w:sdtContent/>
      </w:sdt>
      <w:r w:rsidRPr="00117D1B">
        <w:rPr>
          <w:rFonts w:ascii="Times New Roman" w:hAnsi="Times New Roman" w:cs="Times New Roman"/>
          <w:i/>
          <w:iCs/>
          <w:sz w:val="24"/>
          <w:szCs w:val="24"/>
        </w:rPr>
        <w:t>Расширение услуг дошкольного образования для нуждающихся детей</w:t>
      </w:r>
      <w:r w:rsidRPr="00117D1B">
        <w:rPr>
          <w:rFonts w:ascii="Times New Roman" w:hAnsi="Times New Roman" w:cs="Times New Roman"/>
          <w:sz w:val="24"/>
          <w:szCs w:val="24"/>
        </w:rPr>
        <w:t>.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сообществах.</w:t>
      </w:r>
    </w:p>
    <w:p w:rsidR="00117D1B" w:rsidRPr="00117D1B" w:rsidRDefault="00117D1B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1B">
        <w:rPr>
          <w:rFonts w:ascii="Times New Roman" w:hAnsi="Times New Roman" w:cs="Times New Roman"/>
          <w:i/>
          <w:iCs/>
          <w:sz w:val="24"/>
          <w:szCs w:val="24"/>
        </w:rPr>
        <w:t xml:space="preserve">Подкомпонент 1.1: Расширение услуг дошкольного образования. </w:t>
      </w:r>
      <w:r w:rsidRPr="00117D1B">
        <w:rPr>
          <w:rFonts w:ascii="Times New Roman" w:hAnsi="Times New Roman" w:cs="Times New Roman"/>
          <w:sz w:val="24"/>
          <w:szCs w:val="24"/>
        </w:rPr>
        <w:t xml:space="preserve">Цель данного подкомпонента заключается в увеличении равноправного доступа к качественному </w:t>
      </w:r>
      <w:r w:rsidR="00440C43">
        <w:rPr>
          <w:rFonts w:ascii="Times New Roman" w:hAnsi="Times New Roman" w:cs="Times New Roman"/>
          <w:sz w:val="24"/>
          <w:szCs w:val="24"/>
        </w:rPr>
        <w:t>образованию детей дошкольного возраста (</w:t>
      </w:r>
      <w:r w:rsidRPr="00117D1B">
        <w:rPr>
          <w:rFonts w:ascii="Times New Roman" w:hAnsi="Times New Roman" w:cs="Times New Roman"/>
          <w:sz w:val="24"/>
          <w:szCs w:val="24"/>
        </w:rPr>
        <w:t>ОДДВ</w:t>
      </w:r>
      <w:r w:rsidR="00440C43">
        <w:rPr>
          <w:rFonts w:ascii="Times New Roman" w:hAnsi="Times New Roman" w:cs="Times New Roman"/>
          <w:sz w:val="24"/>
          <w:szCs w:val="24"/>
        </w:rPr>
        <w:t>)</w:t>
      </w:r>
      <w:r w:rsidRPr="00117D1B">
        <w:rPr>
          <w:rFonts w:ascii="Times New Roman" w:hAnsi="Times New Roman" w:cs="Times New Roman"/>
          <w:sz w:val="24"/>
          <w:szCs w:val="24"/>
        </w:rPr>
        <w:t xml:space="preserve"> в бедных сельских регионах, где отсутствует или имеется ограниченный доступ, посредством создания </w:t>
      </w:r>
      <w:r w:rsidR="00440C43">
        <w:rPr>
          <w:rFonts w:ascii="Times New Roman" w:hAnsi="Times New Roman" w:cs="Times New Roman"/>
          <w:sz w:val="24"/>
          <w:szCs w:val="24"/>
        </w:rPr>
        <w:t>общинных детских садов (</w:t>
      </w:r>
      <w:r w:rsidRPr="00117D1B">
        <w:rPr>
          <w:rFonts w:ascii="Times New Roman" w:hAnsi="Times New Roman" w:cs="Times New Roman"/>
          <w:sz w:val="24"/>
          <w:szCs w:val="24"/>
        </w:rPr>
        <w:t>ОДС</w:t>
      </w:r>
      <w:r w:rsidR="00440C43">
        <w:rPr>
          <w:rFonts w:ascii="Times New Roman" w:hAnsi="Times New Roman" w:cs="Times New Roman"/>
          <w:sz w:val="24"/>
          <w:szCs w:val="24"/>
        </w:rPr>
        <w:t>)</w:t>
      </w:r>
      <w:r w:rsidRPr="00117D1B">
        <w:rPr>
          <w:rFonts w:ascii="Times New Roman" w:hAnsi="Times New Roman" w:cs="Times New Roman"/>
          <w:sz w:val="24"/>
          <w:szCs w:val="24"/>
        </w:rPr>
        <w:t xml:space="preserve"> - центров дошкольного развития детей и повышения эффективности практики преподавания и обучения в дошкольных </w:t>
      </w:r>
      <w:r w:rsidR="00440C43">
        <w:rPr>
          <w:rFonts w:ascii="Times New Roman" w:hAnsi="Times New Roman" w:cs="Times New Roman"/>
          <w:sz w:val="24"/>
          <w:szCs w:val="24"/>
        </w:rPr>
        <w:t>образовательных организации</w:t>
      </w:r>
      <w:r w:rsidRPr="00117D1B">
        <w:rPr>
          <w:rFonts w:ascii="Times New Roman" w:hAnsi="Times New Roman" w:cs="Times New Roman"/>
          <w:sz w:val="24"/>
          <w:szCs w:val="24"/>
        </w:rPr>
        <w:t>. Проект поддержит создание около 60 новых ОДС-центров дошкольного развития детей, которые смогут принять около 5 000 детей в возрасте 3–5 лет</w:t>
      </w:r>
      <w:r w:rsidRPr="00117D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7BFF" w:rsidRDefault="00117D1B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D1B">
        <w:rPr>
          <w:rFonts w:ascii="Times New Roman" w:hAnsi="Times New Roman" w:cs="Times New Roman"/>
          <w:i/>
          <w:iCs/>
          <w:sz w:val="24"/>
          <w:szCs w:val="24"/>
        </w:rPr>
        <w:t xml:space="preserve">Подкомпонент 1.2: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179"/>
          <w:id w:val="1204443978"/>
          <w:showingPlcHdr/>
        </w:sdtPr>
        <w:sdtEndPr/>
        <w:sdtContent>
          <w:r w:rsidRPr="00117D1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237"/>
          <w:id w:val="2009246928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296"/>
          <w:id w:val="417518607"/>
        </w:sdtPr>
        <w:sdtEndPr/>
        <w:sdtContent/>
      </w:sdt>
      <w:r w:rsidRPr="00117D1B">
        <w:rPr>
          <w:rFonts w:ascii="Times New Roman" w:hAnsi="Times New Roman" w:cs="Times New Roman"/>
          <w:i/>
          <w:iCs/>
          <w:sz w:val="24"/>
          <w:szCs w:val="24"/>
        </w:rPr>
        <w:t>Повышение эффективности педагогической практики.</w:t>
      </w:r>
      <w:r w:rsidRPr="00117D1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17D1B" w:rsidRPr="00117D1B" w:rsidRDefault="00117D1B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1B">
        <w:rPr>
          <w:rFonts w:ascii="Times New Roman" w:hAnsi="Times New Roman" w:cs="Times New Roman"/>
          <w:iCs/>
          <w:sz w:val="24"/>
          <w:szCs w:val="24"/>
        </w:rPr>
        <w:t>Целью этого подкомпонента является повышение потенциала учителей</w:t>
      </w:r>
      <w:r w:rsidR="00440C43">
        <w:rPr>
          <w:rFonts w:ascii="Times New Roman" w:hAnsi="Times New Roman" w:cs="Times New Roman"/>
          <w:iCs/>
          <w:sz w:val="24"/>
          <w:szCs w:val="24"/>
        </w:rPr>
        <w:t>/воспитателей</w:t>
      </w:r>
      <w:r w:rsidRPr="00117D1B">
        <w:rPr>
          <w:rFonts w:ascii="Times New Roman" w:hAnsi="Times New Roman" w:cs="Times New Roman"/>
          <w:iCs/>
          <w:sz w:val="24"/>
          <w:szCs w:val="24"/>
        </w:rPr>
        <w:t xml:space="preserve"> в дошкольном образовании за счет 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815"/>
          <w:id w:val="1725714882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861"/>
          <w:id w:val="-950466833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910"/>
          <w:id w:val="911123335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959"/>
          <w:id w:val="-476145665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1010"/>
          <w:id w:val="1641377799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062"/>
          <w:id w:val="282776978"/>
          <w:showingPlcHdr/>
        </w:sdtPr>
        <w:sdtEndPr/>
        <w:sdtContent>
          <w:r w:rsidRPr="00117D1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Pr="00117D1B">
        <w:rPr>
          <w:rFonts w:ascii="Times New Roman" w:hAnsi="Times New Roman" w:cs="Times New Roman"/>
          <w:i/>
          <w:iCs/>
          <w:sz w:val="24"/>
          <w:szCs w:val="24"/>
        </w:rPr>
        <w:t>Компонент 2: Совершенствование политики и финансирования в целях улучшения эффективности системы</w:t>
      </w:r>
      <w:r w:rsidRPr="00117D1B">
        <w:rPr>
          <w:rFonts w:ascii="Times New Roman" w:hAnsi="Times New Roman" w:cs="Times New Roman"/>
          <w:sz w:val="24"/>
          <w:szCs w:val="24"/>
        </w:rPr>
        <w:t xml:space="preserve"> (0,4 млн. долларов США).</w:t>
      </w:r>
    </w:p>
    <w:p w:rsidR="00117D1B" w:rsidRPr="00117D1B" w:rsidRDefault="00117D1B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1B">
        <w:rPr>
          <w:rFonts w:ascii="Times New Roman" w:hAnsi="Times New Roman" w:cs="Times New Roman"/>
          <w:sz w:val="24"/>
          <w:szCs w:val="24"/>
        </w:rPr>
        <w:t xml:space="preserve">Цель данного компонента заключается в повышении эффективности реализуемой политики и функционирования системы. </w:t>
      </w:r>
    </w:p>
    <w:p w:rsidR="00117D1B" w:rsidRPr="00117D1B" w:rsidRDefault="00C21711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813"/>
          <w:id w:val="1012644425"/>
        </w:sdtPr>
        <w:sdtEndPr/>
        <w:sdtContent/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859"/>
          <w:id w:val="-291365467"/>
        </w:sdtPr>
        <w:sdtEndPr/>
        <w:sdtContent/>
      </w:sdt>
      <w:r w:rsidR="00117D1B" w:rsidRPr="00117D1B">
        <w:rPr>
          <w:rFonts w:ascii="Times New Roman" w:hAnsi="Times New Roman" w:cs="Times New Roman"/>
          <w:i/>
          <w:iCs/>
          <w:sz w:val="24"/>
          <w:szCs w:val="24"/>
        </w:rPr>
        <w:t xml:space="preserve">Компонент 3: Обеспечение вовлечения граждан и поддержка реализации </w:t>
      </w:r>
      <w:r w:rsidR="00117D1B" w:rsidRPr="00117D1B">
        <w:rPr>
          <w:rFonts w:ascii="Times New Roman" w:hAnsi="Times New Roman" w:cs="Times New Roman"/>
          <w:sz w:val="24"/>
          <w:szCs w:val="24"/>
        </w:rPr>
        <w:t>(0,7 млн. дол. США).</w:t>
      </w:r>
    </w:p>
    <w:p w:rsidR="00117D1B" w:rsidRPr="00117D1B" w:rsidRDefault="00117D1B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1B">
        <w:rPr>
          <w:rFonts w:ascii="Times New Roman" w:hAnsi="Times New Roman" w:cs="Times New Roman"/>
          <w:sz w:val="24"/>
          <w:szCs w:val="24"/>
        </w:rPr>
        <w:t>Цель этого компонента – обеспечить участие всех заинтересованных сторон в реализации и мониторинге проекта.</w:t>
      </w:r>
    </w:p>
    <w:p w:rsidR="00117D1B" w:rsidRPr="00117D1B" w:rsidRDefault="00117D1B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1B">
        <w:rPr>
          <w:rFonts w:ascii="Times New Roman" w:hAnsi="Times New Roman" w:cs="Times New Roman"/>
          <w:i/>
          <w:iCs/>
          <w:sz w:val="24"/>
          <w:szCs w:val="24"/>
        </w:rPr>
        <w:t>Подкомпонент 3.1: Вовлечение заинтересованных сторон</w:t>
      </w:r>
    </w:p>
    <w:p w:rsidR="00AB7BFF" w:rsidRDefault="00117D1B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1B">
        <w:rPr>
          <w:rFonts w:ascii="Times New Roman" w:hAnsi="Times New Roman" w:cs="Times New Roman"/>
          <w:sz w:val="24"/>
          <w:szCs w:val="24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(a) предоставление информации для родителей и (b) мониторинг сообщества через оценочные карточки сообществ.</w:t>
      </w:r>
      <w:r w:rsidRPr="00117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D1B" w:rsidRPr="00AB7BFF" w:rsidRDefault="00117D1B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1B">
        <w:rPr>
          <w:rFonts w:ascii="Times New Roman" w:hAnsi="Times New Roman" w:cs="Times New Roman"/>
          <w:i/>
          <w:iCs/>
          <w:sz w:val="24"/>
          <w:szCs w:val="24"/>
        </w:rPr>
        <w:t>Подкомпонент 3.2: Оценка</w:t>
      </w:r>
    </w:p>
    <w:p w:rsidR="00117D1B" w:rsidRPr="00117D1B" w:rsidRDefault="00C21711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85"/>
          <w:id w:val="-33505710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934"/>
          <w:id w:val="-1451152519"/>
          <w:showingPlcHdr/>
        </w:sdtPr>
        <w:sdtEndPr/>
        <w:sdtContent>
          <w:r w:rsidR="00AB7BFF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117D1B" w:rsidRPr="00117D1B">
        <w:rPr>
          <w:rFonts w:ascii="Times New Roman" w:hAnsi="Times New Roman" w:cs="Times New Roman"/>
          <w:sz w:val="24"/>
          <w:szCs w:val="24"/>
        </w:rPr>
        <w:t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</w:t>
      </w:r>
      <w:r w:rsidR="00117D1B" w:rsidRPr="00117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D1B" w:rsidRPr="00117D1B">
        <w:rPr>
          <w:rFonts w:ascii="Times New Roman" w:hAnsi="Times New Roman" w:cs="Times New Roman"/>
          <w:i/>
          <w:iCs/>
          <w:sz w:val="24"/>
          <w:szCs w:val="24"/>
        </w:rPr>
        <w:t>Подкомпонент 3.3: Поддержка реализации</w:t>
      </w:r>
    </w:p>
    <w:p w:rsidR="00A151A7" w:rsidRDefault="00117D1B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1B">
        <w:rPr>
          <w:rFonts w:ascii="Times New Roman" w:hAnsi="Times New Roman" w:cs="Times New Roman"/>
          <w:sz w:val="24"/>
          <w:szCs w:val="24"/>
        </w:rPr>
        <w:lastRenderedPageBreak/>
        <w:t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</w:t>
      </w:r>
      <w:r w:rsidRPr="00117D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2DFB" w:rsidRPr="004C2DFB" w:rsidRDefault="004C2DFB" w:rsidP="00F1270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C2D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Основные цели задания</w:t>
      </w:r>
    </w:p>
    <w:p w:rsidR="00DD0591" w:rsidRPr="00AB7BFF" w:rsidRDefault="004A484F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Задача Специалиста по </w:t>
      </w:r>
      <w:r w:rsidR="009B7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социальным вопросам</w:t>
      </w:r>
      <w:r w:rsidRPr="004A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ОКП заключается в оказании технической помощи Министерству образования и науки Кыргызской Республики и ОКП “Укрепление основ обучения” в проведении всех мероприятий в соответствии с Техническим Заданием. Это включает планирование, координацию, мониторинг и анализ результатов всех меропри</w:t>
      </w:r>
      <w:r w:rsidR="008A6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ятий по управлению реализацией </w:t>
      </w:r>
      <w:r w:rsidR="00500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Социально-экологических стандартов (СЭС</w:t>
      </w:r>
      <w:r w:rsidR="008A63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Pr="004A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проекта.</w:t>
      </w:r>
      <w:r w:rsidR="00DD0591" w:rsidRPr="00AB7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9553C" w:rsidRPr="00B40E51" w:rsidRDefault="004C2DFB" w:rsidP="00F1270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и содержание работы</w:t>
      </w:r>
    </w:p>
    <w:p w:rsidR="00B40E51" w:rsidRPr="00B40E51" w:rsidRDefault="00B40E51" w:rsidP="00F12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0E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достижения этих задач Специалист по </w:t>
      </w:r>
      <w:r w:rsidR="00B12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социальным вопросам</w:t>
      </w:r>
      <w:r w:rsidRPr="00B40E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ОКП</w:t>
      </w:r>
      <w:r w:rsidRPr="00B40E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B40E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выполнит следующее:</w:t>
      </w:r>
    </w:p>
    <w:p w:rsidR="00C9553C" w:rsidRPr="0089732B" w:rsidRDefault="00C9553C" w:rsidP="00F127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Оказание с</w:t>
      </w:r>
      <w:r w:rsidR="00FD3C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одействия и поддержки команде 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ОКП в выполнении социальных обязательств проекта, указанных в </w:t>
      </w:r>
      <w:r w:rsidR="00A775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Плане социально-экологических обязательств</w:t>
      </w:r>
      <w:r w:rsidR="00A77505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775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Проекта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 </w:t>
      </w:r>
    </w:p>
    <w:p w:rsidR="00C9553C" w:rsidRPr="0089732B" w:rsidRDefault="006172A7" w:rsidP="00F127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7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Управление реализацией социальных </w:t>
      </w:r>
      <w:r w:rsidR="00206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стандартов</w:t>
      </w:r>
      <w:r w:rsidRPr="00617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включая оценку социального воздействия, социальный скр</w:t>
      </w:r>
      <w:r w:rsidR="00D41B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ининг подпроектов, реализуемых </w:t>
      </w:r>
      <w:r w:rsidRPr="00617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проекта и разработку, реализацию, мониторинг смягчающих мер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9553C" w:rsidRPr="0089732B" w:rsidRDefault="00C9553C" w:rsidP="00F1270E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Оказание содействия и поддержки О</w:t>
      </w:r>
      <w:r w:rsidR="003A7A3B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 в разработке технических заданий для отбора консультантов и подрядчиков при проведении тендера и составлении контрактов с консультантами и подрядчиками в части соблюдения </w:t>
      </w:r>
      <w:r w:rsidR="003A7A3B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социальных 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мер </w:t>
      </w:r>
      <w:r w:rsidR="003A7A3B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защиты; </w:t>
      </w:r>
    </w:p>
    <w:p w:rsidR="00C9553C" w:rsidRPr="0089732B" w:rsidRDefault="006F0561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реализации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D4D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материальных мер и действий в соответствии со всеми </w:t>
      </w:r>
      <w:r w:rsidR="009234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документами</w:t>
      </w:r>
      <w:r w:rsidR="009234BF" w:rsidRPr="009234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социальным стандартам СЭП  Всемирного Банка таких как План социально-экологических обязательств (ПСЭО), План взаимодействия с заинтересованными сторонами (ПВЗС), Процедуры управления трудовыми ресурсами (ПУТР) или другие инструменты, необходимые для проектной деятельности на основе процедуры оценки, в соответствии с социальными стандартами (ESS 1,2,4,5 и 10), правилами охраны окружающей среды, здоровья и безопасности жизнедеятельности и другими соответствующими  передовыми международными отраслевыми практиками, включая соответствующие руководящие принципы ВОЗ в отношении COVID-19</w:t>
      </w:r>
      <w:r w:rsidR="000446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сотрудничестве со специалистом по окружающей среде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22611" w:rsidRPr="0089732B" w:rsidRDefault="00C9553C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Включение соответствующих аспектов ПЭСО, ПУТР и любые другие требования охраны труда, здоровья и социальной среды (ОТЗСС), содержащиеся в документах о закупках и контрактах с подрядчиками и фирмами по осуществлению надзора</w:t>
      </w:r>
      <w:r w:rsidR="00C22611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9553C" w:rsidRPr="0089732B" w:rsidRDefault="00C22611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беспечить соблюдение подрядчиками и контролирующими 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8D7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мпаниями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спецификаций ОТЗСС, содержащихся в их соответствующих контрактах;</w:t>
      </w:r>
    </w:p>
    <w:p w:rsidR="00C9553C" w:rsidRPr="0089732B" w:rsidRDefault="00A17CB2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азработка требований для отчетов Подрядчика и контроля плана реализации экологических и социальных мер по смягчению </w:t>
      </w:r>
      <w:r w:rsidR="008D7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воздействий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плана мониторинга подрядчика и проведения анализа социальных </w:t>
      </w:r>
      <w:r w:rsidR="00C22611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 защиты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предоставленных отчетах</w:t>
      </w:r>
      <w:r w:rsidRPr="00A17C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007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сотрудничестве со специалистом по окружающей среде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9553C" w:rsidRPr="0089732B" w:rsidRDefault="00C9553C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Участие в обновлении соответствующих разделов ОР по </w:t>
      </w:r>
      <w:r w:rsidR="008D7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социальным мерам защиты, 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необходимости;</w:t>
      </w:r>
    </w:p>
    <w:p w:rsidR="00C9553C" w:rsidRPr="0089732B" w:rsidRDefault="00E9282B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28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Проведение общественных консультаций по разработанным документам в рамках СЭП (размещение информации, объявления, обсуждение и обратная связь)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325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9553C" w:rsidRPr="0089732B" w:rsidRDefault="00325C4D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Подготовка учебных материалов по социальным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стандартам/вопросам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проведение тренингов по социальным требованиям для команды ОКП, сотрудников МОН КР, проектных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подрядных компаний в соответствии с социальными стандартами ВБ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22611" w:rsidRPr="0089732B" w:rsidRDefault="00C9553C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надзор и поддерживать п</w:t>
      </w:r>
      <w:r w:rsidR="00C22611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одрядные компании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выполнении их обязанностей по управлению трудовыми ресурсами</w:t>
      </w:r>
      <w:r w:rsidR="00C22611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A515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9553C" w:rsidRPr="0089732B" w:rsidRDefault="00C22611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беспечить, чтобы 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подрядные компании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документировали</w:t>
      </w:r>
      <w:r w:rsidR="00007582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социальны</w:t>
      </w:r>
      <w:r w:rsidR="00007582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9F1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воздействия и риски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включая несчастные случаи, связанные с безопасностью населения, во время реализации проекта;</w:t>
      </w:r>
    </w:p>
    <w:p w:rsidR="00C9553C" w:rsidRPr="0089732B" w:rsidRDefault="00C9553C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Реагировать и документировать все инциденты / происшествия на основе отчетов;</w:t>
      </w:r>
    </w:p>
    <w:p w:rsidR="00C9553C" w:rsidRPr="0089732B" w:rsidRDefault="00C9553C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частых выездов на места и проведение мониторинга П</w:t>
      </w:r>
      <w:r w:rsidR="00007582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ЭСО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ПУТР на </w:t>
      </w:r>
      <w:r w:rsidR="008D7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объектах строительства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сбор и обобщение отчетов, подготовка регулярных отчетов для ВБ;</w:t>
      </w:r>
    </w:p>
    <w:p w:rsidR="00007582" w:rsidRPr="0089732B" w:rsidRDefault="00601979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Разработать </w:t>
      </w:r>
      <w:r w:rsidR="00A5151D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Механизм рассмотрения жалоб (МРЖ)</w:t>
      </w:r>
      <w:r w:rsidR="00A515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Проекта в соответствии с ПВЗС</w:t>
      </w:r>
      <w:r w:rsidR="00007582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07582" w:rsidRPr="0089732B" w:rsidRDefault="00B52EC2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Разработать МРЖ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сотрудников Проекта в соответствии с ПУТР</w:t>
      </w:r>
      <w:r w:rsidR="00007582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A87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07582" w:rsidRPr="0089732B" w:rsidRDefault="00007582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Разработать электронную базу данных по жалобам;</w:t>
      </w:r>
    </w:p>
    <w:p w:rsidR="00C9553C" w:rsidRPr="0089732B" w:rsidRDefault="00C9553C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Координировать реализацию МРЖ на всех уровнях, вести базу данных жалоб и составлять отчеты о деятельности МРЖ;</w:t>
      </w:r>
    </w:p>
    <w:p w:rsidR="00C9553C" w:rsidRPr="0089732B" w:rsidRDefault="00C9553C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652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беспечение доступа к информации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достижение максимальной информационной открытости, гласности и прозрачности в деятельности проекта;</w:t>
      </w:r>
    </w:p>
    <w:p w:rsidR="00C9553C" w:rsidRPr="0089732B" w:rsidRDefault="00A87FC5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 обновления, раскрытия, адаптация и реализация Плана взаимодействия с заинтересованными сторонами (ПВЗС) в соответствии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законодател</w:t>
      </w:r>
      <w:r w:rsidR="00C75A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ьством Кыргы</w:t>
      </w:r>
      <w:r w:rsidR="00DE0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="00C75A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DE0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кой Республики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стандартом Всемирного Банка «Взаимодейст</w:t>
      </w:r>
      <w:r w:rsidR="002757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ие с заинтересованными сторонами и раскрытие информации»</w:t>
      </w:r>
      <w:r w:rsidR="00C9553C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9553C" w:rsidRPr="0089732B" w:rsidRDefault="00CC27EC" w:rsidP="00F127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C27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Подготовка периодических отчетов о проведенных работах в рамках проекта и своевременное предоставление ежемесячных, квартальных, полугодовых и годовых отчетов по социальным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стандартам </w:t>
      </w:r>
      <w:r w:rsidRPr="00CC27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директору ОКП и квартальных отчетов по выполнению ПСЭО во Всемирный Банк</w:t>
      </w:r>
      <w:r w:rsidR="00007582"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9553C" w:rsidRDefault="00C9553C" w:rsidP="00F127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Поддержание регулярной координации со специалистом по </w:t>
      </w:r>
      <w:r w:rsidR="008D7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коммуникации и связям с общественностью, специалистом по охране </w:t>
      </w:r>
      <w:r w:rsidRPr="008973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окружающей среде и командой Всемирного Банка</w:t>
      </w:r>
      <w:r w:rsidR="00490B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128D5" w:rsidRDefault="00B128D5" w:rsidP="00F127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Оказывать поддержку по экологическим вопросам в обеспечении выполнения социальных и экологическ</w:t>
      </w:r>
      <w:r w:rsidR="00B1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 стандартов, ПСЭО и других ин</w:t>
      </w:r>
      <w:r w:rsidRPr="00B1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12B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B128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рументов в рамках СЭП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8D7B69" w:rsidRDefault="00B26379" w:rsidP="00F127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разработанными материалами</w:t>
      </w:r>
      <w:r w:rsidR="008D7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бумажном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цифровом формате соответствующие структуры</w:t>
      </w:r>
      <w:r w:rsidR="008D7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МОН КР и ОКП по мере реализации мероприятий</w:t>
      </w:r>
      <w:r w:rsidR="00490B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F4174" w:rsidRDefault="00490B3F" w:rsidP="00F1270E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jc w:val="both"/>
        <w:rPr>
          <w:rFonts w:ascii="PT Sans" w:eastAsia="Times New Roman" w:hAnsi="PT Sans" w:cs="Times New Roman"/>
          <w:color w:val="222222"/>
          <w:sz w:val="23"/>
          <w:szCs w:val="23"/>
          <w:lang w:eastAsia="ru-RU"/>
        </w:rPr>
      </w:pPr>
      <w:r w:rsidRPr="00A812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завершении проекта подготовит полный перечень разработанных материалов и обеспечит официальную передачу соответствующим структурам</w:t>
      </w:r>
      <w:r w:rsidR="00A812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C9553C" w:rsidRPr="00C9553C">
        <w:rPr>
          <w:rFonts w:ascii="PT Sans" w:eastAsia="Times New Roman" w:hAnsi="PT Sans" w:cs="Times New Roman"/>
          <w:color w:val="222222"/>
          <w:sz w:val="23"/>
          <w:szCs w:val="23"/>
          <w:lang w:eastAsia="ru-RU"/>
        </w:rPr>
        <w:t> </w:t>
      </w:r>
    </w:p>
    <w:p w:rsidR="00671A65" w:rsidRPr="00671A65" w:rsidRDefault="00671A65" w:rsidP="00F1270E">
      <w:pPr>
        <w:pStyle w:val="a3"/>
        <w:shd w:val="clear" w:color="auto" w:fill="FFFFFF"/>
        <w:spacing w:after="390" w:line="240" w:lineRule="auto"/>
        <w:jc w:val="both"/>
        <w:rPr>
          <w:rFonts w:ascii="PT Sans" w:eastAsia="Times New Roman" w:hAnsi="PT Sans" w:cs="Times New Roman"/>
          <w:color w:val="222222"/>
          <w:sz w:val="23"/>
          <w:szCs w:val="23"/>
          <w:lang w:eastAsia="ru-RU"/>
        </w:rPr>
      </w:pPr>
    </w:p>
    <w:p w:rsidR="00407FFD" w:rsidRPr="009F4174" w:rsidRDefault="00407FFD" w:rsidP="00F1270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74">
        <w:rPr>
          <w:rFonts w:ascii="Times New Roman" w:hAnsi="Times New Roman" w:cs="Times New Roman"/>
          <w:b/>
          <w:sz w:val="24"/>
          <w:szCs w:val="24"/>
        </w:rPr>
        <w:t>Сроки выполнения задания</w:t>
      </w:r>
    </w:p>
    <w:p w:rsidR="00407FFD" w:rsidRPr="00407FFD" w:rsidRDefault="00B32B72" w:rsidP="00F12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72">
        <w:rPr>
          <w:rFonts w:ascii="Times New Roman" w:hAnsi="Times New Roman" w:cs="Times New Roman"/>
          <w:sz w:val="24"/>
          <w:szCs w:val="24"/>
        </w:rPr>
        <w:t xml:space="preserve">Планируемая продолжительность задания составляет </w:t>
      </w:r>
      <w:r w:rsidR="00E21EDC">
        <w:rPr>
          <w:rFonts w:ascii="Times New Roman" w:hAnsi="Times New Roman" w:cs="Times New Roman"/>
          <w:sz w:val="24"/>
          <w:szCs w:val="24"/>
        </w:rPr>
        <w:t>4</w:t>
      </w:r>
      <w:r w:rsidR="00E50E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32B72">
        <w:rPr>
          <w:rFonts w:ascii="Times New Roman" w:hAnsi="Times New Roman" w:cs="Times New Roman"/>
          <w:sz w:val="24"/>
          <w:szCs w:val="24"/>
        </w:rPr>
        <w:t xml:space="preserve"> или до любой другой даты, которая будет согласована между Правительством КР и ВБ. Контракт будет заключен на один год (на полную занятость) </w:t>
      </w:r>
      <w:r w:rsidR="00B60CC0" w:rsidRPr="00DE02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60CC0" w:rsidRPr="00DE022D">
        <w:rPr>
          <w:rFonts w:ascii="Times New Roman" w:hAnsi="Times New Roman" w:cs="Times New Roman"/>
          <w:sz w:val="24"/>
          <w:szCs w:val="24"/>
        </w:rPr>
        <w:t xml:space="preserve"> трехмесячным испытательным сроком</w:t>
      </w:r>
      <w:r w:rsidR="00B60CC0">
        <w:rPr>
          <w:rFonts w:ascii="Times New Roman" w:hAnsi="Times New Roman" w:cs="Times New Roman"/>
          <w:sz w:val="24"/>
          <w:szCs w:val="24"/>
        </w:rPr>
        <w:t xml:space="preserve"> и </w:t>
      </w:r>
      <w:r w:rsidRPr="00B32B72">
        <w:rPr>
          <w:rFonts w:ascii="Times New Roman" w:hAnsi="Times New Roman" w:cs="Times New Roman"/>
          <w:sz w:val="24"/>
          <w:szCs w:val="24"/>
        </w:rPr>
        <w:t>с возможностью последующего продления при удовлетворительном выполнении работы.</w:t>
      </w:r>
      <w:r w:rsidR="00407FFD" w:rsidRPr="00407F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FFD" w:rsidRPr="00407FFD" w:rsidRDefault="00407FFD" w:rsidP="00F127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FFD">
        <w:rPr>
          <w:rFonts w:ascii="Times New Roman" w:hAnsi="Times New Roman" w:cs="Times New Roman"/>
          <w:b/>
          <w:sz w:val="24"/>
          <w:szCs w:val="24"/>
        </w:rPr>
        <w:t>VI.    Условия выполнения задания</w:t>
      </w:r>
    </w:p>
    <w:p w:rsidR="00407FFD" w:rsidRPr="00407FFD" w:rsidRDefault="00EC723D" w:rsidP="00F12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Спе</w:t>
      </w:r>
      <w:r w:rsidR="00707E0F">
        <w:rPr>
          <w:rFonts w:ascii="Times New Roman" w:hAnsi="Times New Roman" w:cs="Times New Roman"/>
          <w:sz w:val="24"/>
          <w:szCs w:val="24"/>
        </w:rPr>
        <w:t xml:space="preserve">циалист по социальным вопросам </w:t>
      </w:r>
      <w:r w:rsidRPr="00EC723D">
        <w:rPr>
          <w:rFonts w:ascii="Times New Roman" w:hAnsi="Times New Roman" w:cs="Times New Roman"/>
          <w:sz w:val="24"/>
          <w:szCs w:val="24"/>
        </w:rPr>
        <w:t xml:space="preserve">ОКП выполняет свои обязанности в тесном сотрудничестве с МОН КР, компаниями, региональным учреждением ГАМСУМО, районными и городскими отделами образования области, ОДС, общеобразовательными учреждениями и ОКП. </w:t>
      </w:r>
    </w:p>
    <w:p w:rsidR="00407FFD" w:rsidRPr="00407FFD" w:rsidRDefault="00407FFD" w:rsidP="00F127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FFD" w:rsidRPr="00407FFD" w:rsidRDefault="00407FFD" w:rsidP="00F127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FFD">
        <w:rPr>
          <w:rFonts w:ascii="Times New Roman" w:hAnsi="Times New Roman" w:cs="Times New Roman"/>
          <w:b/>
          <w:sz w:val="24"/>
          <w:szCs w:val="24"/>
        </w:rPr>
        <w:t>VII.</w:t>
      </w:r>
      <w:r w:rsidRPr="00407FFD">
        <w:rPr>
          <w:rFonts w:ascii="Times New Roman" w:hAnsi="Times New Roman" w:cs="Times New Roman"/>
          <w:b/>
          <w:sz w:val="24"/>
          <w:szCs w:val="24"/>
        </w:rPr>
        <w:tab/>
        <w:t>Перечень и график представления отчетов</w:t>
      </w:r>
    </w:p>
    <w:p w:rsidR="00407FFD" w:rsidRPr="00407FFD" w:rsidRDefault="00DB44BA" w:rsidP="00F12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Спе</w:t>
      </w:r>
      <w:r>
        <w:rPr>
          <w:rFonts w:ascii="Times New Roman" w:hAnsi="Times New Roman" w:cs="Times New Roman"/>
          <w:sz w:val="24"/>
          <w:szCs w:val="24"/>
        </w:rPr>
        <w:t xml:space="preserve">циалист по социальным вопросам </w:t>
      </w:r>
      <w:r w:rsidRPr="00EC723D">
        <w:rPr>
          <w:rFonts w:ascii="Times New Roman" w:hAnsi="Times New Roman" w:cs="Times New Roman"/>
          <w:sz w:val="24"/>
          <w:szCs w:val="24"/>
        </w:rPr>
        <w:t>ОКП будет подотчетен Директору ОКП, по финансовым вопросам будет отчитываться специалисту по выплатам и финансовому менеджеру ОКП.</w:t>
      </w:r>
    </w:p>
    <w:p w:rsidR="00DA74E5" w:rsidRDefault="00172E5E" w:rsidP="00F12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5E">
        <w:rPr>
          <w:rFonts w:ascii="Times New Roman" w:hAnsi="Times New Roman" w:cs="Times New Roman"/>
          <w:sz w:val="24"/>
          <w:szCs w:val="24"/>
        </w:rPr>
        <w:t>В соответствии с задачами данного задания Специалист по социальным вопросам ОКП будет ежемесячно представлять отчеты о ходе реализации мероприятий Проекта. Наряду с ежемесячным отчетом, содержащим основные результаты деятельности за отчетный месяц, отчет должен содержать ключевые критические вопросы и планы на следующий месяц. Отчет должен быть представлен на русском языке с подписью и в электронном виде, который должен быть отправлен на электронную почту Директор ОКП. Специалист по социальным вопросам ОКП также должен подготовить Итоговый отчет по завершению всего задания, который должен быть представлен в двух (2) экземплярах на русском языке с подписью и в электронном виде. Финансовые выплаты будут производиться только после утверждения соответствующего отчета о ходе реализации мероприятий.</w:t>
      </w:r>
    </w:p>
    <w:p w:rsidR="008B7A28" w:rsidRPr="00E9532C" w:rsidRDefault="00101F40" w:rsidP="00F1270E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Минимальные к</w:t>
      </w:r>
      <w:r w:rsidR="00734D85" w:rsidRPr="00E9532C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критерии оценки</w:t>
      </w:r>
      <w:r w:rsidR="00734D85" w:rsidRPr="00E9532C">
        <w:rPr>
          <w:rFonts w:ascii="Times New Roman" w:hAnsi="Times New Roman" w:cs="Times New Roman"/>
          <w:b/>
          <w:sz w:val="24"/>
          <w:szCs w:val="24"/>
        </w:rPr>
        <w:t>:</w:t>
      </w:r>
    </w:p>
    <w:p w:rsidR="00734D85" w:rsidRDefault="00734D85" w:rsidP="00F127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</w:t>
      </w:r>
      <w:r w:rsidR="00E41664">
        <w:rPr>
          <w:rFonts w:ascii="Times New Roman" w:hAnsi="Times New Roman" w:cs="Times New Roman"/>
          <w:sz w:val="24"/>
          <w:szCs w:val="24"/>
        </w:rPr>
        <w:t xml:space="preserve"> образование в области</w:t>
      </w:r>
      <w:r>
        <w:rPr>
          <w:rFonts w:ascii="Times New Roman" w:hAnsi="Times New Roman" w:cs="Times New Roman"/>
          <w:sz w:val="24"/>
          <w:szCs w:val="24"/>
        </w:rPr>
        <w:t xml:space="preserve"> социологии, юриспруд</w:t>
      </w:r>
      <w:r w:rsidR="00101F40">
        <w:rPr>
          <w:rFonts w:ascii="Times New Roman" w:hAnsi="Times New Roman" w:cs="Times New Roman"/>
          <w:sz w:val="24"/>
          <w:szCs w:val="24"/>
        </w:rPr>
        <w:t xml:space="preserve">енции или смежных специальностях – </w:t>
      </w:r>
      <w:r w:rsidR="00B60CC0" w:rsidRPr="004B155A">
        <w:rPr>
          <w:rFonts w:ascii="Times New Roman" w:hAnsi="Times New Roman" w:cs="Times New Roman"/>
          <w:sz w:val="24"/>
          <w:szCs w:val="24"/>
        </w:rPr>
        <w:t>1</w:t>
      </w:r>
      <w:r w:rsidR="00101F40" w:rsidRPr="004B155A">
        <w:rPr>
          <w:rFonts w:ascii="Times New Roman" w:hAnsi="Times New Roman" w:cs="Times New Roman"/>
          <w:sz w:val="24"/>
          <w:szCs w:val="24"/>
        </w:rPr>
        <w:t>0</w:t>
      </w:r>
      <w:r w:rsidR="00101F40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246D45" w:rsidRDefault="00237AAD" w:rsidP="00246D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307807">
        <w:rPr>
          <w:rFonts w:ascii="Times New Roman" w:eastAsia="Times New Roman" w:hAnsi="Times New Roman"/>
          <w:sz w:val="24"/>
          <w:szCs w:val="24"/>
        </w:rPr>
        <w:t xml:space="preserve">нание законодательства Кыргызской Республики в </w:t>
      </w:r>
      <w:r>
        <w:rPr>
          <w:rFonts w:ascii="Times New Roman" w:eastAsia="Times New Roman" w:hAnsi="Times New Roman"/>
          <w:sz w:val="24"/>
          <w:szCs w:val="24"/>
        </w:rPr>
        <w:t xml:space="preserve">социальной </w:t>
      </w:r>
      <w:r w:rsidRPr="00307807">
        <w:rPr>
          <w:rFonts w:ascii="Times New Roman" w:eastAsia="Times New Roman" w:hAnsi="Times New Roman"/>
          <w:sz w:val="24"/>
          <w:szCs w:val="24"/>
        </w:rPr>
        <w:t>сфере и политик Всемирного банка по мерам безопасности (либо других международных финансовых институтов)</w:t>
      </w:r>
      <w:r>
        <w:rPr>
          <w:rFonts w:ascii="Times New Roman" w:eastAsia="Times New Roman" w:hAnsi="Times New Roman"/>
          <w:sz w:val="24"/>
          <w:szCs w:val="24"/>
        </w:rPr>
        <w:t>, знание СЭП является преимущ</w:t>
      </w:r>
      <w:r w:rsidR="00A27B22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ством</w:t>
      </w:r>
      <w:r w:rsidR="00B60CC0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B60CC0" w:rsidRPr="004B155A">
        <w:rPr>
          <w:rFonts w:ascii="Times New Roman" w:eastAsia="Times New Roman" w:hAnsi="Times New Roman"/>
          <w:sz w:val="24"/>
          <w:szCs w:val="24"/>
        </w:rPr>
        <w:t>2</w:t>
      </w:r>
      <w:r w:rsidR="00A27B22" w:rsidRPr="004B155A">
        <w:rPr>
          <w:rFonts w:ascii="Times New Roman" w:eastAsia="Times New Roman" w:hAnsi="Times New Roman"/>
          <w:sz w:val="24"/>
          <w:szCs w:val="24"/>
        </w:rPr>
        <w:t>0</w:t>
      </w:r>
      <w:r w:rsidR="00A27B22">
        <w:rPr>
          <w:rFonts w:ascii="Times New Roman" w:eastAsia="Times New Roman" w:hAnsi="Times New Roman"/>
          <w:sz w:val="24"/>
          <w:szCs w:val="24"/>
        </w:rPr>
        <w:t xml:space="preserve"> баллов</w:t>
      </w:r>
      <w:r w:rsidRPr="00307807">
        <w:rPr>
          <w:rFonts w:ascii="Times New Roman" w:eastAsia="Times New Roman" w:hAnsi="Times New Roman"/>
          <w:sz w:val="24"/>
          <w:szCs w:val="24"/>
        </w:rPr>
        <w:t>;</w:t>
      </w:r>
    </w:p>
    <w:p w:rsidR="00734D85" w:rsidRDefault="008C37C0" w:rsidP="00F127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</w:t>
      </w:r>
      <w:r w:rsidRPr="001A0D7D">
        <w:rPr>
          <w:rFonts w:ascii="Times New Roman" w:eastAsia="Times New Roman" w:hAnsi="Times New Roman"/>
          <w:sz w:val="24"/>
          <w:szCs w:val="24"/>
        </w:rPr>
        <w:t xml:space="preserve"> выполнения заданий по социальной оценке, р</w:t>
      </w:r>
      <w:r>
        <w:rPr>
          <w:rFonts w:ascii="Times New Roman" w:hAnsi="Times New Roman" w:cs="Times New Roman"/>
          <w:sz w:val="24"/>
          <w:szCs w:val="24"/>
        </w:rPr>
        <w:t xml:space="preserve">азработки тренинговых модулей, проведения обучения по социальным мерам защиты и безопасности жизнедеятельности </w:t>
      </w:r>
      <w:r w:rsidRPr="004B155A">
        <w:rPr>
          <w:rFonts w:ascii="Times New Roman" w:hAnsi="Times New Roman" w:cs="Times New Roman"/>
          <w:sz w:val="24"/>
          <w:szCs w:val="24"/>
        </w:rPr>
        <w:t xml:space="preserve">– </w:t>
      </w:r>
      <w:r w:rsidR="002E1CDE" w:rsidRPr="004B155A">
        <w:rPr>
          <w:rFonts w:ascii="Times New Roman" w:hAnsi="Times New Roman" w:cs="Times New Roman"/>
          <w:sz w:val="24"/>
          <w:szCs w:val="24"/>
        </w:rPr>
        <w:t>2</w:t>
      </w:r>
      <w:r w:rsidR="00B60CC0" w:rsidRPr="004B15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E9532C" w:rsidRDefault="00F10C31" w:rsidP="00F127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31">
        <w:rPr>
          <w:rFonts w:ascii="Times New Roman" w:hAnsi="Times New Roman" w:cs="Times New Roman"/>
          <w:sz w:val="24"/>
          <w:szCs w:val="24"/>
        </w:rPr>
        <w:t xml:space="preserve">Опыт работы в области социальных мер защиты не менее 3-х лет, опыт работы в проектах, финансируемых международными донорами является преимуществом – </w:t>
      </w:r>
      <w:r w:rsidRPr="004B155A">
        <w:rPr>
          <w:rFonts w:ascii="Times New Roman" w:hAnsi="Times New Roman" w:cs="Times New Roman"/>
          <w:sz w:val="24"/>
          <w:szCs w:val="24"/>
        </w:rPr>
        <w:t>2</w:t>
      </w:r>
      <w:r w:rsidR="00B60CC0" w:rsidRPr="004B155A">
        <w:rPr>
          <w:rFonts w:ascii="Times New Roman" w:hAnsi="Times New Roman" w:cs="Times New Roman"/>
          <w:sz w:val="24"/>
          <w:szCs w:val="24"/>
        </w:rPr>
        <w:t>5</w:t>
      </w:r>
      <w:r w:rsidRPr="00F10C31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101F40" w:rsidRDefault="00E9532C" w:rsidP="00F127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владение кыргызским и русским языками, знание английского является преимуществом</w:t>
      </w:r>
      <w:r w:rsidR="00101F40">
        <w:rPr>
          <w:rFonts w:ascii="Times New Roman" w:hAnsi="Times New Roman" w:cs="Times New Roman"/>
          <w:sz w:val="24"/>
          <w:szCs w:val="24"/>
        </w:rPr>
        <w:t xml:space="preserve"> – 10 баллов;</w:t>
      </w:r>
    </w:p>
    <w:p w:rsidR="00E9532C" w:rsidRDefault="00101F40" w:rsidP="00F127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101F40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101F40">
        <w:rPr>
          <w:rFonts w:ascii="Times New Roman" w:hAnsi="Times New Roman" w:cs="Times New Roman"/>
          <w:sz w:val="24"/>
          <w:szCs w:val="24"/>
        </w:rPr>
        <w:t xml:space="preserve"> с компьютерными программами MS Office, </w:t>
      </w:r>
      <w:r>
        <w:rPr>
          <w:rFonts w:ascii="Times New Roman" w:hAnsi="Times New Roman" w:cs="Times New Roman"/>
          <w:sz w:val="24"/>
          <w:szCs w:val="24"/>
        </w:rPr>
        <w:t xml:space="preserve">Outlook, Internet Explorer </w:t>
      </w:r>
      <w:r w:rsidRPr="00101F40">
        <w:rPr>
          <w:rFonts w:ascii="Times New Roman" w:hAnsi="Times New Roman" w:cs="Times New Roman"/>
          <w:sz w:val="24"/>
          <w:szCs w:val="24"/>
        </w:rPr>
        <w:t>– 10 баллов</w:t>
      </w:r>
      <w:r w:rsidR="00A81258">
        <w:rPr>
          <w:rFonts w:ascii="Times New Roman" w:hAnsi="Times New Roman" w:cs="Times New Roman"/>
          <w:sz w:val="24"/>
          <w:szCs w:val="24"/>
        </w:rPr>
        <w:t>.</w:t>
      </w:r>
    </w:p>
    <w:p w:rsidR="00101F40" w:rsidRDefault="00101F40" w:rsidP="00F1270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D85" w:rsidRPr="00A81258" w:rsidRDefault="00734D85" w:rsidP="00F12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D85" w:rsidRPr="00A81258" w:rsidRDefault="00734D85" w:rsidP="00F1270E">
      <w:pPr>
        <w:jc w:val="both"/>
      </w:pPr>
    </w:p>
    <w:sectPr w:rsidR="00734D85" w:rsidRPr="00A8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11" w:rsidRDefault="00C21711" w:rsidP="00117D1B">
      <w:pPr>
        <w:spacing w:after="0" w:line="240" w:lineRule="auto"/>
      </w:pPr>
      <w:r>
        <w:separator/>
      </w:r>
    </w:p>
  </w:endnote>
  <w:endnote w:type="continuationSeparator" w:id="0">
    <w:p w:rsidR="00C21711" w:rsidRDefault="00C21711" w:rsidP="001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11" w:rsidRDefault="00C21711" w:rsidP="00117D1B">
      <w:pPr>
        <w:spacing w:after="0" w:line="240" w:lineRule="auto"/>
      </w:pPr>
      <w:r>
        <w:separator/>
      </w:r>
    </w:p>
  </w:footnote>
  <w:footnote w:type="continuationSeparator" w:id="0">
    <w:p w:rsidR="00C21711" w:rsidRDefault="00C21711" w:rsidP="0011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C05"/>
    <w:multiLevelType w:val="multilevel"/>
    <w:tmpl w:val="24AC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50294"/>
    <w:multiLevelType w:val="hybridMultilevel"/>
    <w:tmpl w:val="A8FEB690"/>
    <w:lvl w:ilvl="0" w:tplc="975C2AAE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E363FEA"/>
    <w:multiLevelType w:val="hybridMultilevel"/>
    <w:tmpl w:val="860A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5A3"/>
    <w:multiLevelType w:val="hybridMultilevel"/>
    <w:tmpl w:val="DAA22076"/>
    <w:lvl w:ilvl="0" w:tplc="8F4A7E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C6833"/>
    <w:multiLevelType w:val="hybridMultilevel"/>
    <w:tmpl w:val="2E44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83863"/>
    <w:multiLevelType w:val="hybridMultilevel"/>
    <w:tmpl w:val="E528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4BBD"/>
    <w:multiLevelType w:val="hybridMultilevel"/>
    <w:tmpl w:val="D0E4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00533"/>
    <w:multiLevelType w:val="multilevel"/>
    <w:tmpl w:val="4E44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12E8D"/>
    <w:multiLevelType w:val="hybridMultilevel"/>
    <w:tmpl w:val="0FD0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28"/>
    <w:rsid w:val="00007582"/>
    <w:rsid w:val="00031065"/>
    <w:rsid w:val="0004460E"/>
    <w:rsid w:val="00085749"/>
    <w:rsid w:val="00091687"/>
    <w:rsid w:val="000976D8"/>
    <w:rsid w:val="000B7AD5"/>
    <w:rsid w:val="000C21A8"/>
    <w:rsid w:val="000E2BBA"/>
    <w:rsid w:val="00101F40"/>
    <w:rsid w:val="00117D1B"/>
    <w:rsid w:val="00172E5E"/>
    <w:rsid w:val="00174C12"/>
    <w:rsid w:val="00177FEF"/>
    <w:rsid w:val="001D3F9C"/>
    <w:rsid w:val="00206974"/>
    <w:rsid w:val="00226902"/>
    <w:rsid w:val="00237AAD"/>
    <w:rsid w:val="00246D45"/>
    <w:rsid w:val="00275781"/>
    <w:rsid w:val="002774C9"/>
    <w:rsid w:val="002A66CD"/>
    <w:rsid w:val="002D51C2"/>
    <w:rsid w:val="002E1CDE"/>
    <w:rsid w:val="00325C4D"/>
    <w:rsid w:val="003356B4"/>
    <w:rsid w:val="0034680E"/>
    <w:rsid w:val="003A7A3B"/>
    <w:rsid w:val="003B1EC0"/>
    <w:rsid w:val="003D3C23"/>
    <w:rsid w:val="003E6B6C"/>
    <w:rsid w:val="003F6CE9"/>
    <w:rsid w:val="00407FFD"/>
    <w:rsid w:val="00413D46"/>
    <w:rsid w:val="004305C5"/>
    <w:rsid w:val="00440C43"/>
    <w:rsid w:val="004710B5"/>
    <w:rsid w:val="00477FA9"/>
    <w:rsid w:val="00490B3F"/>
    <w:rsid w:val="004A484F"/>
    <w:rsid w:val="004B155A"/>
    <w:rsid w:val="004C2DFB"/>
    <w:rsid w:val="004F517C"/>
    <w:rsid w:val="00500101"/>
    <w:rsid w:val="00521282"/>
    <w:rsid w:val="00531551"/>
    <w:rsid w:val="00553D38"/>
    <w:rsid w:val="00564D5D"/>
    <w:rsid w:val="00567F6B"/>
    <w:rsid w:val="005775FD"/>
    <w:rsid w:val="005A4C59"/>
    <w:rsid w:val="00601979"/>
    <w:rsid w:val="0061689D"/>
    <w:rsid w:val="006172A7"/>
    <w:rsid w:val="00627892"/>
    <w:rsid w:val="00652909"/>
    <w:rsid w:val="00671A65"/>
    <w:rsid w:val="006C4B91"/>
    <w:rsid w:val="006F0561"/>
    <w:rsid w:val="00707E0F"/>
    <w:rsid w:val="00734D85"/>
    <w:rsid w:val="00754563"/>
    <w:rsid w:val="00763008"/>
    <w:rsid w:val="008019EE"/>
    <w:rsid w:val="00866B95"/>
    <w:rsid w:val="0089732B"/>
    <w:rsid w:val="008A632F"/>
    <w:rsid w:val="008A78F8"/>
    <w:rsid w:val="008B0B33"/>
    <w:rsid w:val="008B469D"/>
    <w:rsid w:val="008B7A28"/>
    <w:rsid w:val="008C37C0"/>
    <w:rsid w:val="008D24B5"/>
    <w:rsid w:val="008D7B69"/>
    <w:rsid w:val="009234BF"/>
    <w:rsid w:val="0094485F"/>
    <w:rsid w:val="009757BB"/>
    <w:rsid w:val="00984217"/>
    <w:rsid w:val="009A7C5E"/>
    <w:rsid w:val="009B72A2"/>
    <w:rsid w:val="009D4DF6"/>
    <w:rsid w:val="009F16F5"/>
    <w:rsid w:val="009F1E69"/>
    <w:rsid w:val="009F4174"/>
    <w:rsid w:val="00A151A7"/>
    <w:rsid w:val="00A17CB2"/>
    <w:rsid w:val="00A27B22"/>
    <w:rsid w:val="00A5151D"/>
    <w:rsid w:val="00A60A84"/>
    <w:rsid w:val="00A77505"/>
    <w:rsid w:val="00A81258"/>
    <w:rsid w:val="00A87FC5"/>
    <w:rsid w:val="00A939E8"/>
    <w:rsid w:val="00AA4239"/>
    <w:rsid w:val="00AB7BFF"/>
    <w:rsid w:val="00AC1AD3"/>
    <w:rsid w:val="00AD7A23"/>
    <w:rsid w:val="00B128D5"/>
    <w:rsid w:val="00B12BFF"/>
    <w:rsid w:val="00B12C6D"/>
    <w:rsid w:val="00B26379"/>
    <w:rsid w:val="00B32B72"/>
    <w:rsid w:val="00B40E51"/>
    <w:rsid w:val="00B52EC2"/>
    <w:rsid w:val="00B55FB9"/>
    <w:rsid w:val="00B60CC0"/>
    <w:rsid w:val="00B66F71"/>
    <w:rsid w:val="00B72B77"/>
    <w:rsid w:val="00B82718"/>
    <w:rsid w:val="00BC793A"/>
    <w:rsid w:val="00BD3C57"/>
    <w:rsid w:val="00C21711"/>
    <w:rsid w:val="00C22611"/>
    <w:rsid w:val="00C42938"/>
    <w:rsid w:val="00C548D1"/>
    <w:rsid w:val="00C6276A"/>
    <w:rsid w:val="00C72BFD"/>
    <w:rsid w:val="00C75A74"/>
    <w:rsid w:val="00C773EE"/>
    <w:rsid w:val="00C9553C"/>
    <w:rsid w:val="00CA762F"/>
    <w:rsid w:val="00CC27EC"/>
    <w:rsid w:val="00CF70CE"/>
    <w:rsid w:val="00D007AE"/>
    <w:rsid w:val="00D40183"/>
    <w:rsid w:val="00D41B04"/>
    <w:rsid w:val="00DA74E5"/>
    <w:rsid w:val="00DB44BA"/>
    <w:rsid w:val="00DD0591"/>
    <w:rsid w:val="00DE022D"/>
    <w:rsid w:val="00DE057D"/>
    <w:rsid w:val="00E21EDC"/>
    <w:rsid w:val="00E31473"/>
    <w:rsid w:val="00E32EC8"/>
    <w:rsid w:val="00E4131A"/>
    <w:rsid w:val="00E41664"/>
    <w:rsid w:val="00E46FDE"/>
    <w:rsid w:val="00E50E0C"/>
    <w:rsid w:val="00E51E31"/>
    <w:rsid w:val="00E619D2"/>
    <w:rsid w:val="00E84C0A"/>
    <w:rsid w:val="00E9282B"/>
    <w:rsid w:val="00E9532C"/>
    <w:rsid w:val="00E95E0B"/>
    <w:rsid w:val="00EC4D29"/>
    <w:rsid w:val="00EC6F1F"/>
    <w:rsid w:val="00EC723D"/>
    <w:rsid w:val="00ED6684"/>
    <w:rsid w:val="00F10C31"/>
    <w:rsid w:val="00F1270E"/>
    <w:rsid w:val="00F26FED"/>
    <w:rsid w:val="00F44CD3"/>
    <w:rsid w:val="00F514F5"/>
    <w:rsid w:val="00F60F98"/>
    <w:rsid w:val="00F97703"/>
    <w:rsid w:val="00FB613B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55B6F-490B-4FF1-92B6-4891EC7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28"/>
    <w:pPr>
      <w:ind w:left="720"/>
      <w:contextualSpacing/>
    </w:pPr>
  </w:style>
  <w:style w:type="paragraph" w:styleId="a4">
    <w:name w:val="footnote text"/>
    <w:aliases w:val="single space,FOOTNOTES,fn,Текст сноски 1,Footnote Text Char1 Char1,Footnote Text Char Char Char1,Footnote Text Char1 Char Char,Footnote Text Char Char Char Char,ft,Footnote Text Char1,Footnote Text Char Char,ADB,Footnote,12p,footnote text"/>
    <w:basedOn w:val="a"/>
    <w:link w:val="a5"/>
    <w:uiPriority w:val="99"/>
    <w:qFormat/>
    <w:rsid w:val="0011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aliases w:val="single space Знак,FOOTNOTES Знак,fn Знак,Текст сноски 1 Знак,Footnote Text Char1 Char1 Знак,Footnote Text Char Char Char1 Знак,Footnote Text Char1 Char Char Знак,Footnote Text Char Char Char Char Знак,ft Знак,Footnote Text Char1 Знак"/>
    <w:basedOn w:val="a0"/>
    <w:link w:val="a4"/>
    <w:uiPriority w:val="99"/>
    <w:rsid w:val="00117D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aliases w:val="ftref,Footnote Reference Number,Footnote Reference_LVL6,Footnote Reference_LVL61,Footnote Reference_LVL62,Footnote Reference_LVL63,Footnote Reference_LVL64,16 Point,Superscript 6 Point,Знак сноски-FN,BVI fnr,Ref,de nota al pie,FR,fr"/>
    <w:basedOn w:val="a0"/>
    <w:uiPriority w:val="99"/>
    <w:qFormat/>
    <w:rsid w:val="00117D1B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B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EC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60C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0C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0C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C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2021-10-11T05:36:00Z</cp:lastPrinted>
  <dcterms:created xsi:type="dcterms:W3CDTF">2021-11-15T09:19:00Z</dcterms:created>
  <dcterms:modified xsi:type="dcterms:W3CDTF">2021-11-17T09:23:00Z</dcterms:modified>
</cp:coreProperties>
</file>